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5362E" w14:textId="77777777" w:rsidR="00FA1A4F" w:rsidRDefault="00B74160">
      <w:pPr>
        <w:spacing w:after="0"/>
        <w:jc w:val="center"/>
        <w:rPr>
          <w:b/>
          <w:sz w:val="32"/>
          <w:szCs w:val="32"/>
        </w:rPr>
      </w:pPr>
      <w:r>
        <w:rPr>
          <w:b/>
          <w:sz w:val="32"/>
          <w:szCs w:val="32"/>
        </w:rPr>
        <w:t>Red Tape Review Rule Report</w:t>
      </w:r>
    </w:p>
    <w:p w14:paraId="01DC7EB9" w14:textId="77777777" w:rsidR="00FA1A4F" w:rsidRDefault="00B74160">
      <w:pPr>
        <w:pBdr>
          <w:bottom w:val="single" w:sz="4" w:space="0" w:color="000000"/>
        </w:pBdr>
        <w:spacing w:after="0"/>
        <w:jc w:val="center"/>
        <w:rPr>
          <w:b/>
          <w:sz w:val="32"/>
          <w:szCs w:val="32"/>
        </w:rPr>
      </w:pPr>
      <w:r>
        <w:rPr>
          <w:b/>
          <w:sz w:val="32"/>
          <w:szCs w:val="32"/>
        </w:rPr>
        <w:t>(Due: September 1, 20</w:t>
      </w:r>
      <w:r>
        <w:rPr>
          <w:b/>
          <w:sz w:val="32"/>
          <w:szCs w:val="32"/>
          <w:shd w:val="clear" w:color="auto" w:fill="BFBFBF" w:themeFill="background1" w:themeFillShade="BF"/>
        </w:rPr>
        <w:t xml:space="preserve">24 </w:t>
      </w:r>
      <w:r>
        <w:rPr>
          <w:b/>
          <w:sz w:val="32"/>
          <w:szCs w:val="32"/>
        </w:rPr>
        <w:t>)</w:t>
      </w:r>
    </w:p>
    <w:tbl>
      <w:tblPr>
        <w:tblStyle w:val="TableGrid"/>
        <w:tblW w:w="0" w:type="auto"/>
        <w:tblLook w:val="04A0" w:firstRow="1" w:lastRow="0" w:firstColumn="1" w:lastColumn="0" w:noHBand="0" w:noVBand="1"/>
      </w:tblPr>
      <w:tblGrid>
        <w:gridCol w:w="1741"/>
        <w:gridCol w:w="1778"/>
        <w:gridCol w:w="1749"/>
        <w:gridCol w:w="2114"/>
        <w:gridCol w:w="1733"/>
        <w:gridCol w:w="1675"/>
      </w:tblGrid>
      <w:tr w:rsidR="00FA1A4F" w14:paraId="15EDF6D9" w14:textId="77777777">
        <w:tc>
          <w:tcPr>
            <w:tcW w:w="1798" w:type="dxa"/>
          </w:tcPr>
          <w:p w14:paraId="02F62400" w14:textId="77777777" w:rsidR="00FA1A4F" w:rsidRDefault="00B74160">
            <w:pPr>
              <w:jc w:val="right"/>
              <w:rPr>
                <w:b/>
                <w:sz w:val="24"/>
                <w:szCs w:val="24"/>
              </w:rPr>
            </w:pPr>
            <w:r>
              <w:rPr>
                <w:b/>
                <w:sz w:val="24"/>
                <w:szCs w:val="24"/>
              </w:rPr>
              <w:t>Department Name:</w:t>
            </w:r>
          </w:p>
        </w:tc>
        <w:tc>
          <w:tcPr>
            <w:tcW w:w="1798" w:type="dxa"/>
            <w:shd w:val="clear" w:color="auto" w:fill="D9D9D9" w:themeFill="background1" w:themeFillShade="D9"/>
          </w:tcPr>
          <w:p w14:paraId="37CFCE99" w14:textId="77777777" w:rsidR="00FA1A4F" w:rsidRDefault="00B74160">
            <w:pPr>
              <w:rPr>
                <w:sz w:val="24"/>
                <w:szCs w:val="24"/>
              </w:rPr>
            </w:pPr>
            <w:r>
              <w:rPr>
                <w:sz w:val="24"/>
                <w:szCs w:val="24"/>
              </w:rPr>
              <w:t>Transportation</w:t>
            </w:r>
          </w:p>
        </w:tc>
        <w:tc>
          <w:tcPr>
            <w:tcW w:w="1798" w:type="dxa"/>
          </w:tcPr>
          <w:p w14:paraId="3A358FB5" w14:textId="77777777" w:rsidR="00FA1A4F" w:rsidRDefault="00B74160">
            <w:pPr>
              <w:jc w:val="right"/>
              <w:rPr>
                <w:b/>
                <w:sz w:val="24"/>
                <w:szCs w:val="24"/>
              </w:rPr>
            </w:pPr>
            <w:r>
              <w:rPr>
                <w:b/>
                <w:sz w:val="24"/>
                <w:szCs w:val="24"/>
              </w:rPr>
              <w:t>Date:</w:t>
            </w:r>
          </w:p>
        </w:tc>
        <w:tc>
          <w:tcPr>
            <w:tcW w:w="1798" w:type="dxa"/>
            <w:shd w:val="clear" w:color="auto" w:fill="D9D9D9" w:themeFill="background1" w:themeFillShade="D9"/>
          </w:tcPr>
          <w:p w14:paraId="33D6D391" w14:textId="77777777" w:rsidR="00FA1A4F" w:rsidRDefault="00B74160">
            <w:pPr>
              <w:rPr>
                <w:sz w:val="24"/>
                <w:szCs w:val="24"/>
              </w:rPr>
            </w:pPr>
            <w:r>
              <w:rPr>
                <w:sz w:val="24"/>
                <w:szCs w:val="24"/>
              </w:rPr>
              <w:t>4/25/24</w:t>
            </w:r>
          </w:p>
        </w:tc>
        <w:tc>
          <w:tcPr>
            <w:tcW w:w="1799" w:type="dxa"/>
          </w:tcPr>
          <w:p w14:paraId="537F4016" w14:textId="77777777" w:rsidR="00FA1A4F" w:rsidRDefault="00B74160">
            <w:pPr>
              <w:jc w:val="right"/>
              <w:rPr>
                <w:b/>
                <w:sz w:val="24"/>
                <w:szCs w:val="24"/>
              </w:rPr>
            </w:pPr>
            <w:r>
              <w:rPr>
                <w:b/>
                <w:sz w:val="24"/>
                <w:szCs w:val="24"/>
              </w:rPr>
              <w:t>Total Rule Count:</w:t>
            </w:r>
          </w:p>
        </w:tc>
        <w:tc>
          <w:tcPr>
            <w:tcW w:w="1799" w:type="dxa"/>
            <w:shd w:val="clear" w:color="auto" w:fill="D9D9D9" w:themeFill="background1" w:themeFillShade="D9"/>
          </w:tcPr>
          <w:p w14:paraId="53CA60BC" w14:textId="77777777" w:rsidR="00FA1A4F" w:rsidRDefault="00B74160">
            <w:pPr>
              <w:rPr>
                <w:sz w:val="24"/>
                <w:szCs w:val="24"/>
              </w:rPr>
            </w:pPr>
            <w:r>
              <w:rPr>
                <w:sz w:val="24"/>
                <w:szCs w:val="24"/>
              </w:rPr>
              <w:t>7</w:t>
            </w:r>
          </w:p>
        </w:tc>
      </w:tr>
      <w:tr w:rsidR="00FA1A4F" w14:paraId="6AED3559" w14:textId="77777777">
        <w:tc>
          <w:tcPr>
            <w:tcW w:w="1798" w:type="dxa"/>
          </w:tcPr>
          <w:p w14:paraId="6523A18C" w14:textId="77777777" w:rsidR="00FA1A4F" w:rsidRDefault="00FA1A4F">
            <w:pPr>
              <w:jc w:val="right"/>
              <w:rPr>
                <w:b/>
                <w:sz w:val="24"/>
                <w:szCs w:val="24"/>
              </w:rPr>
            </w:pPr>
          </w:p>
          <w:p w14:paraId="22F952F9" w14:textId="77777777" w:rsidR="00FA1A4F" w:rsidRDefault="00B74160">
            <w:pPr>
              <w:jc w:val="right"/>
              <w:rPr>
                <w:b/>
                <w:sz w:val="24"/>
                <w:szCs w:val="24"/>
              </w:rPr>
            </w:pPr>
            <w:r>
              <w:rPr>
                <w:b/>
                <w:sz w:val="24"/>
                <w:szCs w:val="24"/>
              </w:rPr>
              <w:t>IAC #:</w:t>
            </w:r>
          </w:p>
        </w:tc>
        <w:tc>
          <w:tcPr>
            <w:tcW w:w="1798" w:type="dxa"/>
            <w:shd w:val="clear" w:color="auto" w:fill="D9D9D9" w:themeFill="background1" w:themeFillShade="D9"/>
          </w:tcPr>
          <w:p w14:paraId="51F0EF80" w14:textId="77777777" w:rsidR="00FA1A4F" w:rsidRDefault="00B74160">
            <w:pPr>
              <w:rPr>
                <w:sz w:val="24"/>
                <w:szCs w:val="24"/>
              </w:rPr>
            </w:pPr>
            <w:r>
              <w:rPr>
                <w:sz w:val="24"/>
                <w:szCs w:val="24"/>
              </w:rPr>
              <w:t>761</w:t>
            </w:r>
          </w:p>
        </w:tc>
        <w:tc>
          <w:tcPr>
            <w:tcW w:w="1798" w:type="dxa"/>
          </w:tcPr>
          <w:p w14:paraId="2320E18F" w14:textId="77777777" w:rsidR="00FA1A4F" w:rsidRDefault="00B74160">
            <w:pPr>
              <w:jc w:val="right"/>
              <w:rPr>
                <w:b/>
                <w:sz w:val="24"/>
                <w:szCs w:val="24"/>
              </w:rPr>
            </w:pPr>
            <w:r>
              <w:rPr>
                <w:b/>
                <w:sz w:val="24"/>
                <w:szCs w:val="24"/>
              </w:rPr>
              <w:t>Chapter/ SubChapter/ Rule(s):</w:t>
            </w:r>
          </w:p>
        </w:tc>
        <w:tc>
          <w:tcPr>
            <w:tcW w:w="1798" w:type="dxa"/>
            <w:shd w:val="clear" w:color="auto" w:fill="D9D9D9" w:themeFill="background1" w:themeFillShade="D9"/>
          </w:tcPr>
          <w:p w14:paraId="3F79FF8B" w14:textId="77777777" w:rsidR="00FA1A4F" w:rsidRDefault="00B74160">
            <w:pPr>
              <w:rPr>
                <w:sz w:val="24"/>
                <w:szCs w:val="24"/>
              </w:rPr>
            </w:pPr>
            <w:r>
              <w:rPr>
                <w:sz w:val="24"/>
                <w:szCs w:val="24"/>
              </w:rPr>
              <w:t>380</w:t>
            </w:r>
          </w:p>
        </w:tc>
        <w:tc>
          <w:tcPr>
            <w:tcW w:w="1799" w:type="dxa"/>
          </w:tcPr>
          <w:p w14:paraId="464D541B" w14:textId="77777777" w:rsidR="00FA1A4F" w:rsidRDefault="00B74160">
            <w:pPr>
              <w:jc w:val="right"/>
              <w:rPr>
                <w:b/>
                <w:sz w:val="24"/>
                <w:szCs w:val="24"/>
              </w:rPr>
            </w:pPr>
            <w:r>
              <w:rPr>
                <w:b/>
                <w:sz w:val="24"/>
                <w:szCs w:val="24"/>
              </w:rPr>
              <w:t>Iowa Code Section Authorizing Rule:</w:t>
            </w:r>
          </w:p>
        </w:tc>
        <w:tc>
          <w:tcPr>
            <w:tcW w:w="1799" w:type="dxa"/>
            <w:shd w:val="clear" w:color="auto" w:fill="D9D9D9" w:themeFill="background1" w:themeFillShade="D9"/>
          </w:tcPr>
          <w:p w14:paraId="1FA07D22" w14:textId="77777777" w:rsidR="00FA1A4F" w:rsidRDefault="00B74160">
            <w:pPr>
              <w:rPr>
                <w:sz w:val="24"/>
                <w:szCs w:val="24"/>
              </w:rPr>
            </w:pPr>
            <w:r>
              <w:rPr>
                <w:sz w:val="24"/>
                <w:szCs w:val="24"/>
              </w:rPr>
              <w:t>321.519</w:t>
            </w:r>
          </w:p>
        </w:tc>
      </w:tr>
      <w:tr w:rsidR="00FA1A4F" w14:paraId="0686EC2B" w14:textId="77777777">
        <w:tc>
          <w:tcPr>
            <w:tcW w:w="1798" w:type="dxa"/>
          </w:tcPr>
          <w:p w14:paraId="292499C9" w14:textId="77777777" w:rsidR="00FA1A4F" w:rsidRDefault="00B74160">
            <w:pPr>
              <w:jc w:val="right"/>
              <w:rPr>
                <w:b/>
                <w:sz w:val="24"/>
                <w:szCs w:val="24"/>
              </w:rPr>
            </w:pPr>
            <w:r>
              <w:rPr>
                <w:b/>
                <w:sz w:val="24"/>
                <w:szCs w:val="24"/>
              </w:rPr>
              <w:t>Contact Name:</w:t>
            </w:r>
          </w:p>
        </w:tc>
        <w:tc>
          <w:tcPr>
            <w:tcW w:w="1798" w:type="dxa"/>
            <w:shd w:val="clear" w:color="auto" w:fill="D9D9D9" w:themeFill="background1" w:themeFillShade="D9"/>
          </w:tcPr>
          <w:p w14:paraId="7C2C70A2" w14:textId="77777777" w:rsidR="00FA1A4F" w:rsidRDefault="00B74160">
            <w:pPr>
              <w:jc w:val="right"/>
              <w:rPr>
                <w:sz w:val="24"/>
                <w:szCs w:val="24"/>
              </w:rPr>
            </w:pPr>
            <w:r>
              <w:rPr>
                <w:sz w:val="24"/>
                <w:szCs w:val="24"/>
              </w:rPr>
              <w:t>Kathleen Meradith-Eyers</w:t>
            </w:r>
          </w:p>
        </w:tc>
        <w:tc>
          <w:tcPr>
            <w:tcW w:w="1798" w:type="dxa"/>
          </w:tcPr>
          <w:p w14:paraId="4FE9F508" w14:textId="77777777" w:rsidR="00FA1A4F" w:rsidRDefault="00B74160">
            <w:pPr>
              <w:jc w:val="right"/>
              <w:rPr>
                <w:b/>
                <w:sz w:val="24"/>
                <w:szCs w:val="24"/>
              </w:rPr>
            </w:pPr>
            <w:r>
              <w:rPr>
                <w:b/>
                <w:sz w:val="24"/>
                <w:szCs w:val="24"/>
              </w:rPr>
              <w:t>Email:</w:t>
            </w:r>
          </w:p>
        </w:tc>
        <w:tc>
          <w:tcPr>
            <w:tcW w:w="1798" w:type="dxa"/>
            <w:shd w:val="clear" w:color="auto" w:fill="D9D9D9" w:themeFill="background1" w:themeFillShade="D9"/>
          </w:tcPr>
          <w:p w14:paraId="5D6A0940" w14:textId="77777777" w:rsidR="00FA1A4F" w:rsidRDefault="00B74160">
            <w:pPr>
              <w:jc w:val="right"/>
              <w:rPr>
                <w:rStyle w:val="Hyperlink"/>
                <w:sz w:val="24"/>
                <w:szCs w:val="24"/>
              </w:rPr>
            </w:pPr>
            <w:hyperlink r:id="rId10" w:tooltip="mailto:Kathleen.meradith-eyers@iowadot.us" w:history="1">
              <w:r>
                <w:rPr>
                  <w:rStyle w:val="Hyperlink"/>
                  <w:sz w:val="24"/>
                  <w:szCs w:val="24"/>
                </w:rPr>
                <w:t>Kathleen.meradith-eyers@iowadot.us</w:t>
              </w:r>
            </w:hyperlink>
          </w:p>
        </w:tc>
        <w:tc>
          <w:tcPr>
            <w:tcW w:w="1799" w:type="dxa"/>
          </w:tcPr>
          <w:p w14:paraId="47F1B1D1" w14:textId="77777777" w:rsidR="00FA1A4F" w:rsidRDefault="00B74160">
            <w:pPr>
              <w:jc w:val="right"/>
              <w:rPr>
                <w:b/>
                <w:sz w:val="24"/>
                <w:szCs w:val="24"/>
              </w:rPr>
            </w:pPr>
            <w:r>
              <w:rPr>
                <w:b/>
                <w:sz w:val="24"/>
                <w:szCs w:val="24"/>
              </w:rPr>
              <w:t>Phone:</w:t>
            </w:r>
          </w:p>
        </w:tc>
        <w:tc>
          <w:tcPr>
            <w:tcW w:w="1799" w:type="dxa"/>
            <w:shd w:val="clear" w:color="auto" w:fill="D9D9D9" w:themeFill="background1" w:themeFillShade="D9"/>
          </w:tcPr>
          <w:p w14:paraId="1E3F8967" w14:textId="77777777" w:rsidR="00FA1A4F" w:rsidRDefault="00B74160">
            <w:pPr>
              <w:jc w:val="right"/>
              <w:rPr>
                <w:sz w:val="24"/>
                <w:szCs w:val="24"/>
              </w:rPr>
            </w:pPr>
            <w:r>
              <w:rPr>
                <w:sz w:val="24"/>
                <w:szCs w:val="24"/>
              </w:rPr>
              <w:t>515-231-1230</w:t>
            </w:r>
          </w:p>
        </w:tc>
      </w:tr>
    </w:tbl>
    <w:p w14:paraId="011EE67F" w14:textId="77777777" w:rsidR="00FA1A4F" w:rsidRDefault="00FA1A4F">
      <w:pPr>
        <w:spacing w:after="0"/>
        <w:jc w:val="center"/>
        <w:rPr>
          <w:b/>
          <w:i/>
          <w:sz w:val="24"/>
          <w:szCs w:val="24"/>
        </w:rPr>
      </w:pPr>
    </w:p>
    <w:p w14:paraId="197D4472" w14:textId="77777777" w:rsidR="00FA1A4F" w:rsidRDefault="00B74160">
      <w:pPr>
        <w:pBdr>
          <w:top w:val="single" w:sz="4" w:space="1" w:color="000000"/>
          <w:left w:val="single" w:sz="4" w:space="4" w:color="000000"/>
          <w:bottom w:val="single" w:sz="4" w:space="0" w:color="000000"/>
          <w:right w:val="single" w:sz="4" w:space="4" w:color="000000"/>
        </w:pBdr>
        <w:shd w:val="clear" w:color="auto" w:fill="FFFF00"/>
        <w:spacing w:after="0"/>
        <w:jc w:val="center"/>
        <w:rPr>
          <w:b/>
          <w:i/>
          <w:sz w:val="24"/>
          <w:szCs w:val="24"/>
        </w:rPr>
      </w:pPr>
      <w:r>
        <w:rPr>
          <w:b/>
          <w:i/>
          <w:sz w:val="24"/>
          <w:szCs w:val="24"/>
          <w:highlight w:val="yellow"/>
        </w:rPr>
        <w:t>PLEASE NOTE, THE BOXES BELOW W</w:t>
      </w:r>
      <w:r>
        <w:rPr>
          <w:b/>
          <w:i/>
          <w:sz w:val="24"/>
          <w:szCs w:val="24"/>
          <w:highlight w:val="yellow"/>
        </w:rPr>
        <w:t>ILL EXPAND AS YOU TYPE</w:t>
      </w:r>
    </w:p>
    <w:p w14:paraId="75B786A1" w14:textId="77777777" w:rsidR="00FA1A4F" w:rsidRDefault="00FA1A4F">
      <w:pPr>
        <w:spacing w:after="0" w:line="240" w:lineRule="auto"/>
        <w:rPr>
          <w:b/>
          <w:sz w:val="24"/>
          <w:szCs w:val="24"/>
        </w:rPr>
      </w:pPr>
    </w:p>
    <w:p w14:paraId="1CB4C331" w14:textId="77777777" w:rsidR="00FA1A4F" w:rsidRDefault="00B74160">
      <w:pPr>
        <w:spacing w:after="0"/>
        <w:rPr>
          <w:b/>
          <w:sz w:val="24"/>
          <w:szCs w:val="24"/>
        </w:rPr>
      </w:pPr>
      <w:r>
        <w:rPr>
          <w:b/>
          <w:sz w:val="24"/>
          <w:szCs w:val="24"/>
        </w:rPr>
        <w:t>What is the intended benefit of the rule?</w:t>
      </w:r>
    </w:p>
    <w:tbl>
      <w:tblPr>
        <w:tblStyle w:val="TableGrid"/>
        <w:tblW w:w="0" w:type="auto"/>
        <w:tblLook w:val="04A0" w:firstRow="1" w:lastRow="0" w:firstColumn="1" w:lastColumn="0" w:noHBand="0" w:noVBand="1"/>
      </w:tblPr>
      <w:tblGrid>
        <w:gridCol w:w="10790"/>
      </w:tblGrid>
      <w:tr w:rsidR="00FA1A4F" w14:paraId="285EB107" w14:textId="77777777">
        <w:tc>
          <w:tcPr>
            <w:tcW w:w="10790" w:type="dxa"/>
            <w:shd w:val="clear" w:color="auto" w:fill="D9D9D9" w:themeFill="background1" w:themeFillShade="D9"/>
          </w:tcPr>
          <w:p w14:paraId="5DB0F1DC" w14:textId="77777777" w:rsidR="00FA1A4F" w:rsidRDefault="00B74160">
            <w:pPr>
              <w:pStyle w:val="pf0"/>
              <w:rPr>
                <w:sz w:val="28"/>
                <w:szCs w:val="28"/>
              </w:rPr>
            </w:pPr>
            <w:r>
              <w:rPr>
                <w:rFonts w:ascii="Calibri" w:hAnsi="Calibri" w:cs="Calibri"/>
              </w:rPr>
              <w:t xml:space="preserve">This </w:t>
            </w:r>
            <w:r>
              <w:rPr>
                <w:rFonts w:ascii="Calibri" w:hAnsi="Calibri" w:cs="Calibri"/>
              </w:rPr>
              <w:t xml:space="preserve"> chapter outlines vehicle registration and exemption processes that driverless-capable vehicles are to follow to ensure safe operation of such vehicles as required by Iowa Code sections 321.514-321.519. These sections authorize automated driving system (AD</w:t>
            </w:r>
            <w:r>
              <w:rPr>
                <w:rFonts w:ascii="Calibri" w:hAnsi="Calibri" w:cs="Calibri"/>
              </w:rPr>
              <w:t>S)-equipped vehicles to operate on public highways in Iowa under certain conditions and gives the Department exclusive regulatory authority over these vehicles.</w:t>
            </w:r>
          </w:p>
          <w:p w14:paraId="683B7490" w14:textId="77777777" w:rsidR="00FA1A4F" w:rsidRDefault="00B74160">
            <w:pPr>
              <w:rPr>
                <w:rFonts w:ascii="Calibri" w:hAnsi="Calibri" w:cs="Calibri"/>
                <w:sz w:val="28"/>
                <w:szCs w:val="28"/>
              </w:rPr>
            </w:pPr>
            <w:r>
              <w:rPr>
                <w:rFonts w:ascii="Calibri" w:hAnsi="Calibri" w:cs="Calibri"/>
                <w:sz w:val="24"/>
                <w:szCs w:val="24"/>
              </w:rPr>
              <w:t>The intended benefit of this chapter</w:t>
            </w:r>
            <w:r>
              <w:rPr>
                <w:rFonts w:ascii="Calibri" w:hAnsi="Calibri" w:cs="Calibri"/>
                <w:sz w:val="24"/>
                <w:szCs w:val="24"/>
              </w:rPr>
              <w:t xml:space="preserve"> is to provide vehicle owners, vehicle manufacturers, the law enforcement community, the automotive industry, and any other interested party with transparency regarding implementation of the authority given to the Department in Iowa Code section 321.519 to</w:t>
            </w:r>
            <w:r>
              <w:rPr>
                <w:rFonts w:ascii="Calibri" w:hAnsi="Calibri" w:cs="Calibri"/>
                <w:sz w:val="24"/>
                <w:szCs w:val="24"/>
              </w:rPr>
              <w:t xml:space="preserve"> regulate these vehicles, by the doing the following:</w:t>
            </w:r>
          </w:p>
          <w:p w14:paraId="4BF3AAE1" w14:textId="77777777" w:rsidR="00FA1A4F" w:rsidRDefault="00B74160">
            <w:pPr>
              <w:pStyle w:val="ListParagraph"/>
              <w:numPr>
                <w:ilvl w:val="0"/>
                <w:numId w:val="2"/>
              </w:numPr>
              <w:rPr>
                <w:rFonts w:ascii="Calibri" w:hAnsi="Calibri" w:cs="Calibri"/>
                <w:sz w:val="28"/>
                <w:szCs w:val="28"/>
              </w:rPr>
            </w:pPr>
            <w:r>
              <w:rPr>
                <w:rFonts w:ascii="Calibri" w:hAnsi="Calibri" w:cs="Calibri"/>
                <w:sz w:val="24"/>
                <w:szCs w:val="24"/>
              </w:rPr>
              <w:t>Providing clear and consistent requirements for individuals or entities seeking to title and register driverless-capable vehicles in Iowa, including issuing operational restrictions, if applicable</w:t>
            </w:r>
          </w:p>
          <w:p w14:paraId="5DEF4929" w14:textId="77777777" w:rsidR="00FA1A4F" w:rsidRDefault="00B74160">
            <w:pPr>
              <w:pStyle w:val="ListParagraph"/>
              <w:numPr>
                <w:ilvl w:val="0"/>
                <w:numId w:val="2"/>
              </w:numPr>
              <w:rPr>
                <w:rFonts w:ascii="Calibri" w:hAnsi="Calibri" w:cs="Calibri"/>
                <w:sz w:val="28"/>
                <w:szCs w:val="28"/>
              </w:rPr>
            </w:pPr>
            <w:r>
              <w:rPr>
                <w:rFonts w:ascii="Calibri" w:hAnsi="Calibri" w:cs="Calibri"/>
                <w:sz w:val="24"/>
                <w:szCs w:val="24"/>
              </w:rPr>
              <w:t>Ensur</w:t>
            </w:r>
            <w:r>
              <w:rPr>
                <w:rFonts w:ascii="Calibri" w:hAnsi="Calibri" w:cs="Calibri"/>
                <w:sz w:val="24"/>
                <w:szCs w:val="24"/>
              </w:rPr>
              <w:t xml:space="preserve">ing notation of the ADS level on the vehicle registration record. </w:t>
            </w:r>
          </w:p>
          <w:p w14:paraId="3FD6986A" w14:textId="77777777" w:rsidR="00FA1A4F" w:rsidRDefault="00B74160">
            <w:pPr>
              <w:pStyle w:val="ListParagraph"/>
              <w:numPr>
                <w:ilvl w:val="0"/>
                <w:numId w:val="2"/>
              </w:numPr>
              <w:rPr>
                <w:rFonts w:ascii="Calibri" w:hAnsi="Calibri" w:cs="Calibri"/>
                <w:sz w:val="28"/>
                <w:szCs w:val="28"/>
              </w:rPr>
            </w:pPr>
            <w:r>
              <w:rPr>
                <w:rFonts w:ascii="Calibri" w:hAnsi="Calibri" w:cs="Calibri"/>
                <w:sz w:val="24"/>
                <w:szCs w:val="24"/>
              </w:rPr>
              <w:t xml:space="preserve">Outlining the process under Iowa Code section 321.515(1) “b” for seeking exemption from traffic laws or regulations to operate a driverless-capable vehicle in Iowa. </w:t>
            </w:r>
          </w:p>
          <w:p w14:paraId="26A1F147" w14:textId="77777777" w:rsidR="00FA1A4F" w:rsidRDefault="00B74160">
            <w:pPr>
              <w:pStyle w:val="ListParagraph"/>
              <w:numPr>
                <w:ilvl w:val="0"/>
                <w:numId w:val="2"/>
              </w:numPr>
              <w:rPr>
                <w:rFonts w:ascii="Calibri" w:hAnsi="Calibri" w:cs="Calibri"/>
                <w:sz w:val="28"/>
                <w:szCs w:val="28"/>
              </w:rPr>
            </w:pPr>
            <w:r>
              <w:rPr>
                <w:rFonts w:ascii="Calibri" w:hAnsi="Calibri" w:cs="Calibri"/>
                <w:sz w:val="24"/>
                <w:szCs w:val="24"/>
              </w:rPr>
              <w:t>Establishing transparen</w:t>
            </w:r>
            <w:r>
              <w:rPr>
                <w:rFonts w:ascii="Calibri" w:hAnsi="Calibri" w:cs="Calibri"/>
                <w:sz w:val="24"/>
                <w:szCs w:val="24"/>
              </w:rPr>
              <w:t>t administrative appeal procedures for the above processes.</w:t>
            </w:r>
          </w:p>
          <w:p w14:paraId="2DB1F14F" w14:textId="77777777" w:rsidR="00FA1A4F" w:rsidRDefault="00FA1A4F">
            <w:pPr>
              <w:rPr>
                <w:sz w:val="24"/>
                <w:szCs w:val="24"/>
              </w:rPr>
            </w:pPr>
          </w:p>
          <w:p w14:paraId="1E83263D" w14:textId="77777777" w:rsidR="00FA1A4F" w:rsidRDefault="00FA1A4F">
            <w:pPr>
              <w:rPr>
                <w:sz w:val="24"/>
                <w:szCs w:val="24"/>
              </w:rPr>
            </w:pPr>
          </w:p>
        </w:tc>
      </w:tr>
    </w:tbl>
    <w:p w14:paraId="53BA1C3A" w14:textId="77777777" w:rsidR="00FA1A4F" w:rsidRDefault="00B74160">
      <w:pPr>
        <w:spacing w:after="0"/>
        <w:rPr>
          <w:b/>
          <w:sz w:val="24"/>
          <w:szCs w:val="24"/>
        </w:rPr>
      </w:pPr>
      <w:r>
        <w:rPr>
          <w:b/>
          <w:sz w:val="24"/>
          <w:szCs w:val="24"/>
        </w:rPr>
        <w:t>Is the benefit being achieved? Please provide evidence.</w:t>
      </w:r>
    </w:p>
    <w:tbl>
      <w:tblPr>
        <w:tblStyle w:val="TableGrid"/>
        <w:tblW w:w="0" w:type="auto"/>
        <w:tblLook w:val="04A0" w:firstRow="1" w:lastRow="0" w:firstColumn="1" w:lastColumn="0" w:noHBand="0" w:noVBand="1"/>
      </w:tblPr>
      <w:tblGrid>
        <w:gridCol w:w="10790"/>
      </w:tblGrid>
      <w:tr w:rsidR="00FA1A4F" w14:paraId="7725E934" w14:textId="77777777">
        <w:tc>
          <w:tcPr>
            <w:tcW w:w="10790" w:type="dxa"/>
            <w:shd w:val="clear" w:color="auto" w:fill="D9D9D9" w:themeFill="background1" w:themeFillShade="D9"/>
          </w:tcPr>
          <w:p w14:paraId="25D9D03D" w14:textId="77777777" w:rsidR="00FA1A4F" w:rsidRDefault="00B74160">
            <w:pPr>
              <w:rPr>
                <w:sz w:val="24"/>
                <w:szCs w:val="24"/>
              </w:rPr>
            </w:pPr>
            <w:r>
              <w:rPr>
                <w:sz w:val="24"/>
                <w:szCs w:val="24"/>
              </w:rPr>
              <w:t>The rules have been applied only to a very limited extent in Iowa, as this technology is still emerging and is most prevalent in higher p</w:t>
            </w:r>
            <w:r>
              <w:rPr>
                <w:sz w:val="24"/>
                <w:szCs w:val="24"/>
              </w:rPr>
              <w:t>opulation states.  However, evidence of the chapter’s benefit includes that registration process and record notation outlined by the rules have successfully worked for the one vehicle registered in Iowa with an ADS.</w:t>
            </w:r>
          </w:p>
          <w:p w14:paraId="30166E9B" w14:textId="77777777" w:rsidR="00FA1A4F" w:rsidRDefault="00FA1A4F">
            <w:pPr>
              <w:rPr>
                <w:sz w:val="24"/>
                <w:szCs w:val="24"/>
              </w:rPr>
            </w:pPr>
          </w:p>
          <w:p w14:paraId="679DFDDB" w14:textId="77777777" w:rsidR="00FA1A4F" w:rsidRDefault="00B74160">
            <w:pPr>
              <w:rPr>
                <w:sz w:val="24"/>
                <w:szCs w:val="24"/>
              </w:rPr>
            </w:pPr>
            <w:r>
              <w:rPr>
                <w:sz w:val="24"/>
                <w:szCs w:val="24"/>
              </w:rPr>
              <w:t>Recent evidence also includes the Depar</w:t>
            </w:r>
            <w:r>
              <w:rPr>
                <w:sz w:val="24"/>
                <w:szCs w:val="24"/>
              </w:rPr>
              <w:t>tment’s collaboration with a national autonomous box truck delivery company who announced plans to deploy in Iowa, and who expressed their appreciation for having the regulations easily accessible and viewable so they could review the requirements prior to</w:t>
            </w:r>
            <w:r>
              <w:rPr>
                <w:sz w:val="24"/>
                <w:szCs w:val="24"/>
              </w:rPr>
              <w:t xml:space="preserve"> deploying in Iowa. This demonstrates the benefit of having the information available and publicly accessible for vehicle manufacturers and the auto industry who are considering deployment of ADS in Iowa.</w:t>
            </w:r>
          </w:p>
          <w:p w14:paraId="3320BAB0" w14:textId="77777777" w:rsidR="00FA1A4F" w:rsidRDefault="00FA1A4F">
            <w:pPr>
              <w:rPr>
                <w:sz w:val="24"/>
                <w:szCs w:val="24"/>
              </w:rPr>
            </w:pPr>
          </w:p>
          <w:p w14:paraId="09A6BCA5" w14:textId="77777777" w:rsidR="00FA1A4F" w:rsidRDefault="00B74160">
            <w:pPr>
              <w:rPr>
                <w:sz w:val="24"/>
                <w:szCs w:val="24"/>
              </w:rPr>
            </w:pPr>
            <w:r>
              <w:rPr>
                <w:sz w:val="24"/>
                <w:szCs w:val="24"/>
              </w:rPr>
              <w:lastRenderedPageBreak/>
              <w:t>The Department has not yet received any applicatio</w:t>
            </w:r>
            <w:r>
              <w:rPr>
                <w:sz w:val="24"/>
                <w:szCs w:val="24"/>
              </w:rPr>
              <w:t>n for a driverless-capable vehicle exemption under Iowa Code section 321.515(1) “b.”  However, there is benefit to having the process clearly outlined in the rule so that when the situation arises, all parties understand clearly and consistently how to pro</w:t>
            </w:r>
            <w:r>
              <w:rPr>
                <w:sz w:val="24"/>
                <w:szCs w:val="24"/>
              </w:rPr>
              <w:t xml:space="preserve">ceed. </w:t>
            </w:r>
          </w:p>
          <w:p w14:paraId="5C9FBD16" w14:textId="77777777" w:rsidR="00FA1A4F" w:rsidRDefault="00FA1A4F">
            <w:pPr>
              <w:rPr>
                <w:b/>
                <w:sz w:val="24"/>
                <w:szCs w:val="24"/>
              </w:rPr>
            </w:pPr>
          </w:p>
        </w:tc>
      </w:tr>
    </w:tbl>
    <w:p w14:paraId="04706588" w14:textId="77777777" w:rsidR="00FA1A4F" w:rsidRDefault="00B74160">
      <w:pPr>
        <w:spacing w:after="0"/>
        <w:rPr>
          <w:b/>
          <w:sz w:val="24"/>
          <w:szCs w:val="24"/>
        </w:rPr>
      </w:pPr>
      <w:r>
        <w:rPr>
          <w:b/>
          <w:sz w:val="24"/>
          <w:szCs w:val="24"/>
        </w:rPr>
        <w:lastRenderedPageBreak/>
        <w:t>What are the costs incurred by the public to comply with the rule?</w:t>
      </w:r>
    </w:p>
    <w:tbl>
      <w:tblPr>
        <w:tblStyle w:val="TableGrid"/>
        <w:tblW w:w="0" w:type="auto"/>
        <w:tblLook w:val="04A0" w:firstRow="1" w:lastRow="0" w:firstColumn="1" w:lastColumn="0" w:noHBand="0" w:noVBand="1"/>
      </w:tblPr>
      <w:tblGrid>
        <w:gridCol w:w="10790"/>
      </w:tblGrid>
      <w:tr w:rsidR="00FA1A4F" w14:paraId="48FEB925" w14:textId="77777777">
        <w:tc>
          <w:tcPr>
            <w:tcW w:w="10790" w:type="dxa"/>
            <w:shd w:val="clear" w:color="auto" w:fill="D9D9D9" w:themeFill="background1" w:themeFillShade="D9"/>
          </w:tcPr>
          <w:p w14:paraId="66F3CCC6" w14:textId="77777777" w:rsidR="00FA1A4F" w:rsidRDefault="00B74160">
            <w:pPr>
              <w:rPr>
                <w:sz w:val="24"/>
                <w:szCs w:val="24"/>
              </w:rPr>
            </w:pPr>
            <w:r>
              <w:rPr>
                <w:bCs/>
                <w:sz w:val="24"/>
                <w:szCs w:val="24"/>
              </w:rPr>
              <w:t>There are no costs to the public to comply with this chapter beyond the minimum statutory requirements to title and register a vehicle in Iowa. The Department does not charge any a</w:t>
            </w:r>
            <w:r>
              <w:rPr>
                <w:bCs/>
                <w:sz w:val="24"/>
                <w:szCs w:val="24"/>
              </w:rPr>
              <w:t>dditional fees for the registration, notation, or exemption of these vehicles.</w:t>
            </w:r>
          </w:p>
          <w:p w14:paraId="3203B4E0" w14:textId="77777777" w:rsidR="00FA1A4F" w:rsidRDefault="00FA1A4F">
            <w:pPr>
              <w:rPr>
                <w:sz w:val="24"/>
                <w:szCs w:val="24"/>
              </w:rPr>
            </w:pPr>
          </w:p>
          <w:p w14:paraId="533ED342" w14:textId="77777777" w:rsidR="00FA1A4F" w:rsidRDefault="00B74160">
            <w:pPr>
              <w:rPr>
                <w:rFonts w:ascii="Calibri" w:eastAsia="Times New Roman" w:hAnsi="Calibri" w:cs="Calibri"/>
                <w:sz w:val="28"/>
                <w:szCs w:val="28"/>
              </w:rPr>
            </w:pPr>
            <w:r>
              <w:rPr>
                <w:rFonts w:ascii="Calibri" w:eastAsia="Times New Roman" w:hAnsi="Calibri" w:cs="Calibri"/>
                <w:sz w:val="24"/>
                <w:szCs w:val="24"/>
              </w:rPr>
              <w:t>Owners or manufacturers of ADS-equipped vehicles may need to spend a negligible amount of time to complete applications/processes relating to:</w:t>
            </w:r>
          </w:p>
          <w:p w14:paraId="2C3B7BAC" w14:textId="77777777" w:rsidR="00FA1A4F" w:rsidRDefault="00B74160">
            <w:pPr>
              <w:pStyle w:val="ListParagraph"/>
              <w:numPr>
                <w:ilvl w:val="0"/>
                <w:numId w:val="1"/>
              </w:numPr>
              <w:rPr>
                <w:bCs/>
                <w:sz w:val="24"/>
                <w:szCs w:val="24"/>
              </w:rPr>
            </w:pPr>
            <w:r>
              <w:rPr>
                <w:bCs/>
                <w:sz w:val="24"/>
                <w:szCs w:val="24"/>
              </w:rPr>
              <w:t>Providing the Department with a copy of the vehicle’s operational design domain.</w:t>
            </w:r>
          </w:p>
          <w:p w14:paraId="01043028" w14:textId="77777777" w:rsidR="00FA1A4F" w:rsidRDefault="00B74160">
            <w:pPr>
              <w:pStyle w:val="ListParagraph"/>
              <w:numPr>
                <w:ilvl w:val="0"/>
                <w:numId w:val="1"/>
              </w:numPr>
              <w:rPr>
                <w:bCs/>
                <w:sz w:val="24"/>
                <w:szCs w:val="24"/>
              </w:rPr>
            </w:pPr>
            <w:r>
              <w:rPr>
                <w:bCs/>
                <w:sz w:val="24"/>
                <w:szCs w:val="24"/>
              </w:rPr>
              <w:t>Providing the Department with in</w:t>
            </w:r>
            <w:r>
              <w:rPr>
                <w:bCs/>
                <w:sz w:val="24"/>
                <w:szCs w:val="24"/>
              </w:rPr>
              <w:t>formation regarding changes to the vehicles operational design domain and operational capabilities.</w:t>
            </w:r>
          </w:p>
          <w:p w14:paraId="18B82AA0" w14:textId="77777777" w:rsidR="00FA1A4F" w:rsidRDefault="00B74160">
            <w:pPr>
              <w:pStyle w:val="ListParagraph"/>
              <w:numPr>
                <w:ilvl w:val="0"/>
                <w:numId w:val="1"/>
              </w:numPr>
              <w:rPr>
                <w:bCs/>
                <w:sz w:val="24"/>
                <w:szCs w:val="24"/>
              </w:rPr>
            </w:pPr>
            <w:r>
              <w:rPr>
                <w:bCs/>
                <w:sz w:val="24"/>
                <w:szCs w:val="24"/>
              </w:rPr>
              <w:t>Applying for a driverless-capable vehicle exemption to the department under Iowa Code section 321.515(1)”b” if the vehicle is not capable of operating in co</w:t>
            </w:r>
            <w:r>
              <w:rPr>
                <w:bCs/>
                <w:sz w:val="24"/>
                <w:szCs w:val="24"/>
              </w:rPr>
              <w:t xml:space="preserve">mpliance with traffic laws and regulations. </w:t>
            </w:r>
          </w:p>
          <w:p w14:paraId="6C480986" w14:textId="77777777" w:rsidR="00FA1A4F" w:rsidRDefault="00FA1A4F">
            <w:pPr>
              <w:rPr>
                <w:b/>
                <w:sz w:val="24"/>
                <w:szCs w:val="24"/>
              </w:rPr>
            </w:pPr>
          </w:p>
          <w:p w14:paraId="22A25760" w14:textId="77777777" w:rsidR="00FA1A4F" w:rsidRDefault="00FA1A4F">
            <w:pPr>
              <w:rPr>
                <w:b/>
                <w:sz w:val="24"/>
                <w:szCs w:val="24"/>
              </w:rPr>
            </w:pPr>
          </w:p>
        </w:tc>
      </w:tr>
    </w:tbl>
    <w:p w14:paraId="6F118DEA" w14:textId="77777777" w:rsidR="00FA1A4F" w:rsidRDefault="00B74160">
      <w:pPr>
        <w:spacing w:after="0"/>
        <w:rPr>
          <w:b/>
          <w:sz w:val="24"/>
          <w:szCs w:val="24"/>
        </w:rPr>
      </w:pPr>
      <w:r>
        <w:rPr>
          <w:b/>
          <w:sz w:val="24"/>
          <w:szCs w:val="24"/>
        </w:rPr>
        <w:t>What are the costs to the agency or any other agency to implement/enforce the rule?</w:t>
      </w:r>
    </w:p>
    <w:tbl>
      <w:tblPr>
        <w:tblStyle w:val="TableGrid"/>
        <w:tblW w:w="0" w:type="auto"/>
        <w:tblLook w:val="04A0" w:firstRow="1" w:lastRow="0" w:firstColumn="1" w:lastColumn="0" w:noHBand="0" w:noVBand="1"/>
      </w:tblPr>
      <w:tblGrid>
        <w:gridCol w:w="10790"/>
      </w:tblGrid>
      <w:tr w:rsidR="00FA1A4F" w14:paraId="3861D57C" w14:textId="77777777">
        <w:tc>
          <w:tcPr>
            <w:tcW w:w="10790" w:type="dxa"/>
            <w:shd w:val="clear" w:color="auto" w:fill="D9D9D9" w:themeFill="background1" w:themeFillShade="D9"/>
          </w:tcPr>
          <w:p w14:paraId="0F7E432C" w14:textId="77777777" w:rsidR="00FA1A4F" w:rsidRDefault="00B74160">
            <w:pPr>
              <w:rPr>
                <w:bCs/>
                <w:sz w:val="24"/>
                <w:szCs w:val="24"/>
              </w:rPr>
            </w:pPr>
            <w:r>
              <w:rPr>
                <w:bCs/>
                <w:sz w:val="24"/>
                <w:szCs w:val="24"/>
              </w:rPr>
              <w:t xml:space="preserve">There are no costs to the Department to implement the rules beyond those that would otherwise be required to administer the </w:t>
            </w:r>
            <w:r>
              <w:rPr>
                <w:bCs/>
                <w:sz w:val="24"/>
                <w:szCs w:val="24"/>
              </w:rPr>
              <w:t>statute. The number of these vehicles is extremely small (only one vehicle currently registered in Iowa). If there is an increase in requests for registration of ADS vehicles and/or vehicle exemptions, the Department is well-positioned to process these req</w:t>
            </w:r>
            <w:r>
              <w:rPr>
                <w:bCs/>
                <w:sz w:val="24"/>
                <w:szCs w:val="24"/>
              </w:rPr>
              <w:t>uests with existing vehicle registration staff and program managers.</w:t>
            </w:r>
          </w:p>
          <w:p w14:paraId="79E39784" w14:textId="77777777" w:rsidR="00FA1A4F" w:rsidRDefault="00FA1A4F">
            <w:pPr>
              <w:rPr>
                <w:b/>
                <w:sz w:val="24"/>
                <w:szCs w:val="24"/>
              </w:rPr>
            </w:pPr>
          </w:p>
          <w:p w14:paraId="2B38AD6C" w14:textId="77777777" w:rsidR="00FA1A4F" w:rsidRDefault="00FA1A4F">
            <w:pPr>
              <w:rPr>
                <w:b/>
                <w:sz w:val="24"/>
                <w:szCs w:val="24"/>
              </w:rPr>
            </w:pPr>
          </w:p>
        </w:tc>
      </w:tr>
    </w:tbl>
    <w:p w14:paraId="1C47DA4E" w14:textId="77777777" w:rsidR="00FA1A4F" w:rsidRDefault="00B74160">
      <w:pPr>
        <w:spacing w:after="0"/>
        <w:rPr>
          <w:b/>
          <w:sz w:val="24"/>
          <w:szCs w:val="24"/>
        </w:rPr>
      </w:pPr>
      <w:r>
        <w:rPr>
          <w:b/>
          <w:sz w:val="24"/>
          <w:szCs w:val="24"/>
        </w:rPr>
        <w:t>Do the costs justify the benefits achieved? Please explain.</w:t>
      </w:r>
    </w:p>
    <w:tbl>
      <w:tblPr>
        <w:tblStyle w:val="TableGrid"/>
        <w:tblW w:w="0" w:type="auto"/>
        <w:tblLook w:val="04A0" w:firstRow="1" w:lastRow="0" w:firstColumn="1" w:lastColumn="0" w:noHBand="0" w:noVBand="1"/>
      </w:tblPr>
      <w:tblGrid>
        <w:gridCol w:w="10790"/>
      </w:tblGrid>
      <w:tr w:rsidR="00FA1A4F" w14:paraId="44862F38" w14:textId="77777777">
        <w:tc>
          <w:tcPr>
            <w:tcW w:w="10790" w:type="dxa"/>
            <w:shd w:val="clear" w:color="auto" w:fill="D9D9D9" w:themeFill="background1" w:themeFillShade="D9"/>
          </w:tcPr>
          <w:p w14:paraId="0B8E972A" w14:textId="77777777" w:rsidR="00FA1A4F" w:rsidRDefault="00B74160">
            <w:pPr>
              <w:pStyle w:val="pf0"/>
              <w:rPr>
                <w:rFonts w:ascii="Calibri" w:hAnsi="Calibri" w:cs="Calibri"/>
                <w:sz w:val="28"/>
                <w:szCs w:val="28"/>
              </w:rPr>
            </w:pPr>
            <w:r>
              <w:rPr>
                <w:rStyle w:val="cf01"/>
                <w:rFonts w:ascii="Calibri" w:hAnsi="Calibri" w:cs="Calibri"/>
                <w:sz w:val="24"/>
                <w:szCs w:val="24"/>
              </w:rPr>
              <w:t>N/A, there are no costs to the Department or the public.</w:t>
            </w:r>
          </w:p>
          <w:p w14:paraId="7849DBE7" w14:textId="77777777" w:rsidR="00FA1A4F" w:rsidRDefault="00FA1A4F">
            <w:pPr>
              <w:rPr>
                <w:b/>
                <w:sz w:val="24"/>
                <w:szCs w:val="24"/>
              </w:rPr>
            </w:pPr>
          </w:p>
        </w:tc>
      </w:tr>
    </w:tbl>
    <w:p w14:paraId="6ACE4C63" w14:textId="77777777" w:rsidR="00FA1A4F" w:rsidRDefault="00B74160">
      <w:pPr>
        <w:spacing w:after="0" w:line="240" w:lineRule="auto"/>
        <w:rPr>
          <w:b/>
          <w:sz w:val="24"/>
          <w:szCs w:val="24"/>
        </w:rPr>
      </w:pPr>
      <w:r>
        <w:rPr>
          <w:b/>
          <w:sz w:val="24"/>
          <w:szCs w:val="24"/>
        </w:rPr>
        <w:t>Are there less restrictive alternatives to accomplish the benefit</w:t>
      </w:r>
      <w:r>
        <w:rPr>
          <w:b/>
          <w:sz w:val="24"/>
          <w:szCs w:val="24"/>
        </w:rPr>
        <w:t xml:space="preserve">?  </w:t>
      </w:r>
      <w:sdt>
        <w:sdtPr>
          <w:rPr>
            <w:b/>
            <w:sz w:val="24"/>
            <w:szCs w:val="24"/>
          </w:rPr>
          <w:id w:val="1468241850"/>
          <w14:checkbox>
            <w14:checked w14:val="0"/>
            <w14:checkedState w14:val="2612" w14:font="MS Gothic"/>
            <w14:uncheckedState w14:val="2610" w14:font="MS Gothic"/>
          </w14:checkbox>
        </w:sdtPr>
        <w:sdtEndPr/>
        <w:sdtContent>
          <w:r>
            <w:rPr>
              <w:rFonts w:ascii="MS Gothic" w:eastAsia="MS Gothic" w:hAnsi="MS Gothic" w:hint="eastAsia"/>
              <w:b/>
              <w:sz w:val="24"/>
              <w:szCs w:val="24"/>
            </w:rPr>
            <w:t>☐</w:t>
          </w:r>
        </w:sdtContent>
      </w:sdt>
      <w:r>
        <w:rPr>
          <w:b/>
          <w:sz w:val="24"/>
          <w:szCs w:val="24"/>
        </w:rPr>
        <w:t xml:space="preserve"> YES  </w:t>
      </w:r>
      <w:sdt>
        <w:sdtPr>
          <w:rPr>
            <w:b/>
            <w:sz w:val="24"/>
            <w:szCs w:val="24"/>
          </w:rPr>
          <w:id w:val="364024588"/>
          <w14:checkbox>
            <w14:checked w14:val="1"/>
            <w14:checkedState w14:val="2612" w14:font="MS Gothic"/>
            <w14:uncheckedState w14:val="2610" w14:font="MS Gothic"/>
          </w14:checkbox>
        </w:sdtPr>
        <w:sdtEndPr/>
        <w:sdtContent>
          <w:r>
            <w:rPr>
              <w:rFonts w:ascii="MS Gothic" w:eastAsia="MS Gothic" w:hAnsi="MS Gothic" w:cs="MS Gothic" w:hint="eastAsia"/>
              <w:b/>
              <w:sz w:val="24"/>
              <w:szCs w:val="24"/>
            </w:rPr>
            <w:t>☒</w:t>
          </w:r>
        </w:sdtContent>
      </w:sdt>
      <w:r>
        <w:rPr>
          <w:b/>
          <w:sz w:val="24"/>
          <w:szCs w:val="24"/>
        </w:rPr>
        <w:t xml:space="preserve">  NO</w:t>
      </w:r>
    </w:p>
    <w:p w14:paraId="07555207" w14:textId="77777777" w:rsidR="00FA1A4F" w:rsidRDefault="00B74160">
      <w:pPr>
        <w:spacing w:after="0" w:line="240" w:lineRule="auto"/>
        <w:rPr>
          <w:b/>
          <w:sz w:val="24"/>
          <w:szCs w:val="24"/>
        </w:rPr>
      </w:pPr>
      <w:r>
        <w:rPr>
          <w:b/>
          <w:sz w:val="24"/>
          <w:szCs w:val="24"/>
        </w:rPr>
        <w:t>If YES, please list alternative(s) and provide analysis of less restrictive alternatives from other states, if applicable. If NO, please explain.</w:t>
      </w:r>
    </w:p>
    <w:tbl>
      <w:tblPr>
        <w:tblStyle w:val="TableGrid"/>
        <w:tblW w:w="0" w:type="auto"/>
        <w:tblLook w:val="04A0" w:firstRow="1" w:lastRow="0" w:firstColumn="1" w:lastColumn="0" w:noHBand="0" w:noVBand="1"/>
      </w:tblPr>
      <w:tblGrid>
        <w:gridCol w:w="10790"/>
      </w:tblGrid>
      <w:tr w:rsidR="00FA1A4F" w14:paraId="04D436FA" w14:textId="77777777">
        <w:tc>
          <w:tcPr>
            <w:tcW w:w="10790" w:type="dxa"/>
            <w:shd w:val="clear" w:color="auto" w:fill="D9D9D9" w:themeFill="background1" w:themeFillShade="D9"/>
          </w:tcPr>
          <w:p w14:paraId="6F3884EC" w14:textId="77777777" w:rsidR="00FA1A4F" w:rsidRDefault="00B74160">
            <w:pPr>
              <w:rPr>
                <w:rStyle w:val="cf01"/>
                <w:rFonts w:asciiTheme="minorHAnsi" w:hAnsiTheme="minorHAnsi" w:cstheme="minorHAnsi"/>
                <w:sz w:val="24"/>
                <w:szCs w:val="24"/>
              </w:rPr>
            </w:pPr>
            <w:r>
              <w:rPr>
                <w:rStyle w:val="cf01"/>
                <w:rFonts w:asciiTheme="minorHAnsi" w:hAnsiTheme="minorHAnsi" w:cstheme="minorHAnsi"/>
                <w:sz w:val="24"/>
                <w:szCs w:val="24"/>
              </w:rPr>
              <w:t xml:space="preserve">No. The rules are required to implement Iowa Code section 321.514-321.519. </w:t>
            </w:r>
          </w:p>
          <w:p w14:paraId="66503C48" w14:textId="77777777" w:rsidR="00FA1A4F" w:rsidRDefault="00FA1A4F">
            <w:pPr>
              <w:rPr>
                <w:rFonts w:cstheme="minorHAnsi"/>
                <w:sz w:val="24"/>
                <w:szCs w:val="24"/>
              </w:rPr>
            </w:pPr>
          </w:p>
          <w:p w14:paraId="2F257B63" w14:textId="77777777" w:rsidR="00FA1A4F" w:rsidRDefault="00B74160">
            <w:pPr>
              <w:rPr>
                <w:rFonts w:cstheme="minorHAnsi"/>
                <w:sz w:val="24"/>
                <w:szCs w:val="24"/>
              </w:rPr>
            </w:pPr>
            <w:r>
              <w:rPr>
                <w:rStyle w:val="cf01"/>
                <w:rFonts w:asciiTheme="minorHAnsi" w:hAnsiTheme="minorHAnsi" w:cstheme="minorHAnsi"/>
                <w:sz w:val="24"/>
                <w:szCs w:val="24"/>
              </w:rPr>
              <w:t xml:space="preserve"> Iowa’s requirements for automated vehicle registration and law enforcement interaction are consistent with the requirements in other states. The requirements outlined in this chapter related to reviewing and approving </w:t>
            </w:r>
            <w:r>
              <w:rPr>
                <w:rFonts w:cstheme="minorHAnsi"/>
                <w:bCs/>
                <w:sz w:val="24"/>
                <w:szCs w:val="24"/>
              </w:rPr>
              <w:t>vehicle capabilities prior to vehicle</w:t>
            </w:r>
            <w:r>
              <w:rPr>
                <w:rFonts w:cstheme="minorHAnsi"/>
                <w:bCs/>
                <w:sz w:val="24"/>
                <w:szCs w:val="24"/>
              </w:rPr>
              <w:t xml:space="preserve"> registration are similar to, and in many cases less restrictive than, other states. For example, CA and NY require more comprehensive registration documentation, whereas Iowa falls more in alignment with Arizona and Washington with self-certification that</w:t>
            </w:r>
            <w:r>
              <w:rPr>
                <w:rFonts w:cstheme="minorHAnsi"/>
                <w:bCs/>
                <w:sz w:val="24"/>
                <w:szCs w:val="24"/>
              </w:rPr>
              <w:t xml:space="preserve"> an ADS-vehicle can adhere to applicable traffic laws. Further, the rules do not impose any supplemental cost for registration, unlike CA that has a $3,600 annual application fee.  </w:t>
            </w:r>
          </w:p>
          <w:p w14:paraId="4BFB47A7" w14:textId="77777777" w:rsidR="00FA1A4F" w:rsidRDefault="00FA1A4F">
            <w:pPr>
              <w:rPr>
                <w:b/>
                <w:bCs/>
                <w:sz w:val="32"/>
                <w:szCs w:val="32"/>
              </w:rPr>
            </w:pPr>
          </w:p>
          <w:p w14:paraId="01F89E79" w14:textId="77777777" w:rsidR="00FA1A4F" w:rsidRDefault="00B74160">
            <w:pPr>
              <w:rPr>
                <w:rFonts w:cstheme="minorHAnsi"/>
                <w:sz w:val="24"/>
                <w:szCs w:val="24"/>
              </w:rPr>
            </w:pPr>
            <w:r>
              <w:rPr>
                <w:rFonts w:cstheme="minorHAnsi"/>
                <w:bCs/>
                <w:sz w:val="24"/>
                <w:szCs w:val="24"/>
              </w:rPr>
              <w:lastRenderedPageBreak/>
              <w:t>Finally, the requirement to record information on SAE level automation as</w:t>
            </w:r>
            <w:r>
              <w:rPr>
                <w:rFonts w:cstheme="minorHAnsi"/>
                <w:bCs/>
                <w:sz w:val="24"/>
                <w:szCs w:val="24"/>
              </w:rPr>
              <w:t xml:space="preserve"> part of the vehicle registration process is in alignment with the American Association of Motor Vehicle Administrator (AAMVA) </w:t>
            </w:r>
            <w:hyperlink w:history="1">
              <w:r>
                <w:rPr>
                  <w:rStyle w:val="Hyperlink"/>
                  <w:rFonts w:cstheme="minorHAnsi"/>
                  <w:bCs/>
                  <w:sz w:val="24"/>
                  <w:szCs w:val="24"/>
                </w:rPr>
                <w:t>Safe Testing and Deployment of Vehicles Equipped with Automated Driving Systems Guidelines, Edition 3</w:t>
              </w:r>
            </w:hyperlink>
            <w:r>
              <w:rPr>
                <w:rFonts w:cstheme="minorHAnsi"/>
                <w:bCs/>
                <w:sz w:val="24"/>
                <w:szCs w:val="24"/>
              </w:rPr>
              <w:t xml:space="preserve"> (July 2022).</w:t>
            </w:r>
          </w:p>
          <w:p w14:paraId="39E44267" w14:textId="77777777" w:rsidR="00FA1A4F" w:rsidRDefault="00FA1A4F">
            <w:pPr>
              <w:rPr>
                <w:b/>
                <w:sz w:val="24"/>
                <w:szCs w:val="24"/>
              </w:rPr>
            </w:pPr>
          </w:p>
        </w:tc>
      </w:tr>
    </w:tbl>
    <w:p w14:paraId="5C4DB8DC" w14:textId="77777777" w:rsidR="00FA1A4F" w:rsidRDefault="00B74160">
      <w:pPr>
        <w:pBdr>
          <w:top w:val="single" w:sz="4" w:space="1" w:color="000000"/>
          <w:left w:val="single" w:sz="4" w:space="4" w:color="000000"/>
          <w:bottom w:val="single" w:sz="4" w:space="0" w:color="000000"/>
          <w:right w:val="single" w:sz="4" w:space="4" w:color="000000"/>
        </w:pBdr>
        <w:spacing w:after="0"/>
        <w:rPr>
          <w:b/>
          <w:i/>
          <w:sz w:val="24"/>
          <w:szCs w:val="24"/>
        </w:rPr>
      </w:pPr>
      <w:r>
        <w:rPr>
          <w:b/>
          <w:sz w:val="24"/>
          <w:szCs w:val="24"/>
        </w:rPr>
        <w:lastRenderedPageBreak/>
        <w:t>Does this chapter/rule(s) contain language that is obsolete, outdated, inconsistent, redundant, or un-necessary language, including instances where rule language is duplicative of statutory language? [list chapter/rule nu</w:t>
      </w:r>
      <w:r>
        <w:rPr>
          <w:b/>
          <w:sz w:val="24"/>
          <w:szCs w:val="24"/>
        </w:rPr>
        <w:t xml:space="preserve">mber(s) that fall under any of the above categories]     </w:t>
      </w:r>
    </w:p>
    <w:p w14:paraId="2CB9B7ED" w14:textId="77777777" w:rsidR="00FA1A4F" w:rsidRDefault="00B74160">
      <w:pPr>
        <w:pBdr>
          <w:top w:val="single" w:sz="4" w:space="1" w:color="000000"/>
          <w:left w:val="single" w:sz="4" w:space="4" w:color="000000"/>
          <w:bottom w:val="single" w:sz="4" w:space="1" w:color="000000"/>
          <w:right w:val="single" w:sz="4" w:space="4" w:color="000000"/>
        </w:pBdr>
        <w:shd w:val="clear" w:color="auto" w:fill="FFFF00"/>
        <w:spacing w:after="0" w:line="240" w:lineRule="auto"/>
        <w:jc w:val="center"/>
        <w:rPr>
          <w:b/>
          <w:sz w:val="24"/>
          <w:szCs w:val="24"/>
        </w:rPr>
      </w:pPr>
      <w:r>
        <w:rPr>
          <w:b/>
          <w:i/>
          <w:sz w:val="24"/>
          <w:szCs w:val="24"/>
          <w:highlight w:val="yellow"/>
        </w:rPr>
        <w:t>PLEASE NOTE, THE BOXES BELOW WILL EXPAND AS YOU TYPE</w:t>
      </w:r>
    </w:p>
    <w:p w14:paraId="6BD1B711" w14:textId="77777777" w:rsidR="00FA1A4F" w:rsidRDefault="00FA1A4F">
      <w:pPr>
        <w:spacing w:after="0" w:line="240" w:lineRule="auto"/>
        <w:rPr>
          <w:b/>
          <w:sz w:val="24"/>
          <w:szCs w:val="24"/>
        </w:rPr>
      </w:pPr>
    </w:p>
    <w:tbl>
      <w:tblPr>
        <w:tblStyle w:val="TableGrid"/>
        <w:tblW w:w="0" w:type="auto"/>
        <w:tblLook w:val="04A0" w:firstRow="1" w:lastRow="0" w:firstColumn="1" w:lastColumn="0" w:noHBand="0" w:noVBand="1"/>
      </w:tblPr>
      <w:tblGrid>
        <w:gridCol w:w="10790"/>
      </w:tblGrid>
      <w:tr w:rsidR="00FA1A4F" w14:paraId="7BC29EFC" w14:textId="77777777">
        <w:trPr>
          <w:trHeight w:val="720"/>
        </w:trPr>
        <w:tc>
          <w:tcPr>
            <w:tcW w:w="10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68FB50" w14:textId="77777777" w:rsidR="00FA1A4F" w:rsidRDefault="00B74160">
            <w:pPr>
              <w:rPr>
                <w:sz w:val="24"/>
                <w:szCs w:val="24"/>
              </w:rPr>
            </w:pPr>
            <w:r>
              <w:rPr>
                <w:bCs/>
                <w:sz w:val="24"/>
                <w:szCs w:val="24"/>
              </w:rPr>
              <w:t>Yes, Chapter 380 contains language that is redundant and duplicative of statutory language. To address these concerns and to better organize the</w:t>
            </w:r>
            <w:r>
              <w:rPr>
                <w:bCs/>
                <w:sz w:val="24"/>
                <w:szCs w:val="24"/>
              </w:rPr>
              <w:t xml:space="preserve"> material into a more usable format, the chapter has been rewritten and consolidated. </w:t>
            </w:r>
          </w:p>
          <w:p w14:paraId="417E1AE2" w14:textId="77777777" w:rsidR="00FA1A4F" w:rsidRDefault="00FA1A4F">
            <w:pPr>
              <w:rPr>
                <w:sz w:val="24"/>
                <w:szCs w:val="24"/>
              </w:rPr>
            </w:pPr>
          </w:p>
          <w:p w14:paraId="1DDA1C62" w14:textId="77777777" w:rsidR="00FA1A4F" w:rsidRDefault="00B74160">
            <w:pPr>
              <w:rPr>
                <w:sz w:val="24"/>
                <w:szCs w:val="24"/>
              </w:rPr>
            </w:pPr>
            <w:r>
              <w:rPr>
                <w:sz w:val="24"/>
                <w:szCs w:val="24"/>
              </w:rPr>
              <w:t>761.380.1 Applicability – contained language redundant of statute.</w:t>
            </w:r>
          </w:p>
          <w:p w14:paraId="537F8BA1" w14:textId="77777777" w:rsidR="00FA1A4F" w:rsidRDefault="00FA1A4F"/>
          <w:p w14:paraId="5F1C89E3" w14:textId="77777777" w:rsidR="00FA1A4F" w:rsidRDefault="00B74160">
            <w:pPr>
              <w:rPr>
                <w:sz w:val="24"/>
                <w:szCs w:val="24"/>
              </w:rPr>
            </w:pPr>
            <w:r>
              <w:rPr>
                <w:sz w:val="24"/>
                <w:szCs w:val="24"/>
              </w:rPr>
              <w:t>761.380.2 Definitions – contained unnecessary definitions.</w:t>
            </w:r>
          </w:p>
          <w:p w14:paraId="64E2A09B" w14:textId="77777777" w:rsidR="00FA1A4F" w:rsidRDefault="00FA1A4F"/>
          <w:p w14:paraId="65383DA9" w14:textId="77777777" w:rsidR="00FA1A4F" w:rsidRDefault="00B74160">
            <w:pPr>
              <w:rPr>
                <w:sz w:val="24"/>
                <w:szCs w:val="24"/>
              </w:rPr>
            </w:pPr>
            <w:r>
              <w:rPr>
                <w:sz w:val="24"/>
                <w:szCs w:val="24"/>
              </w:rPr>
              <w:t>761.380.3 Information and addresses – contained outdated and unnecessary contact information.</w:t>
            </w:r>
          </w:p>
          <w:p w14:paraId="39A2770E" w14:textId="77777777" w:rsidR="00FA1A4F" w:rsidRDefault="00FA1A4F"/>
          <w:p w14:paraId="28BE14D3" w14:textId="77777777" w:rsidR="00FA1A4F" w:rsidRDefault="00B74160">
            <w:pPr>
              <w:rPr>
                <w:sz w:val="24"/>
                <w:szCs w:val="24"/>
              </w:rPr>
            </w:pPr>
            <w:r>
              <w:rPr>
                <w:sz w:val="24"/>
                <w:szCs w:val="24"/>
              </w:rPr>
              <w:t>761.380.4 Identification of driverless-capable vehicles in registration – contained duplicative and u</w:t>
            </w:r>
            <w:r>
              <w:rPr>
                <w:sz w:val="24"/>
                <w:szCs w:val="24"/>
              </w:rPr>
              <w:t>nnecessary information that we are recommending be consolidated into one rule concerning vehicle registration.</w:t>
            </w:r>
          </w:p>
          <w:p w14:paraId="1F31BA19" w14:textId="77777777" w:rsidR="00FA1A4F" w:rsidRDefault="00FA1A4F"/>
          <w:p w14:paraId="51BD0395" w14:textId="77777777" w:rsidR="00FA1A4F" w:rsidRDefault="00B74160">
            <w:pPr>
              <w:rPr>
                <w:sz w:val="24"/>
                <w:szCs w:val="24"/>
              </w:rPr>
            </w:pPr>
            <w:r>
              <w:rPr>
                <w:sz w:val="24"/>
                <w:szCs w:val="24"/>
              </w:rPr>
              <w:t>761.380.5 Operational restrictions – contained duplicative and unnecessary information that we are recommending be consolidated into one rule co</w:t>
            </w:r>
            <w:r>
              <w:rPr>
                <w:sz w:val="24"/>
                <w:szCs w:val="24"/>
              </w:rPr>
              <w:t>ncerning vehicle registration.</w:t>
            </w:r>
          </w:p>
          <w:p w14:paraId="5B3F554D" w14:textId="77777777" w:rsidR="00FA1A4F" w:rsidRDefault="00FA1A4F"/>
          <w:p w14:paraId="27B85393" w14:textId="77777777" w:rsidR="00FA1A4F" w:rsidRDefault="00B74160">
            <w:pPr>
              <w:rPr>
                <w:sz w:val="24"/>
                <w:szCs w:val="24"/>
              </w:rPr>
            </w:pPr>
            <w:r>
              <w:rPr>
                <w:sz w:val="24"/>
                <w:szCs w:val="24"/>
              </w:rPr>
              <w:t>761.380.6 Identification of driverless-capable vehicle networks – this entire rule is redundant of other departmental rule chapters and should be rescinded</w:t>
            </w:r>
            <w:r>
              <w:rPr>
                <w:sz w:val="24"/>
                <w:szCs w:val="24"/>
              </w:rPr>
              <w:t>.</w:t>
            </w:r>
          </w:p>
          <w:p w14:paraId="13B2CB9C" w14:textId="77777777" w:rsidR="00FA1A4F" w:rsidRDefault="00FA1A4F"/>
          <w:p w14:paraId="4D39E834" w14:textId="77777777" w:rsidR="00FA1A4F" w:rsidRDefault="00B74160">
            <w:pPr>
              <w:rPr>
                <w:sz w:val="24"/>
                <w:szCs w:val="24"/>
              </w:rPr>
            </w:pPr>
            <w:r>
              <w:rPr>
                <w:sz w:val="24"/>
                <w:szCs w:val="24"/>
              </w:rPr>
              <w:t>761.380.7 Driverless-capable vehicle exemption – contained redu</w:t>
            </w:r>
            <w:r>
              <w:rPr>
                <w:sz w:val="24"/>
                <w:szCs w:val="24"/>
              </w:rPr>
              <w:t>ndant language and language duplicative of statute.</w:t>
            </w:r>
          </w:p>
          <w:p w14:paraId="418DE623" w14:textId="77777777" w:rsidR="00FA1A4F" w:rsidRDefault="00FA1A4F">
            <w:pPr>
              <w:rPr>
                <w:b/>
                <w:sz w:val="24"/>
                <w:szCs w:val="24"/>
              </w:rPr>
            </w:pPr>
          </w:p>
        </w:tc>
      </w:tr>
      <w:tr w:rsidR="00FA1A4F" w14:paraId="3ECA617C" w14:textId="77777777">
        <w:trPr>
          <w:trHeight w:val="720"/>
        </w:trPr>
        <w:tc>
          <w:tcPr>
            <w:tcW w:w="10790" w:type="dxa"/>
            <w:tcBorders>
              <w:top w:val="single" w:sz="4" w:space="0" w:color="auto"/>
              <w:left w:val="none" w:sz="4" w:space="0" w:color="000000"/>
              <w:bottom w:val="none" w:sz="4" w:space="0" w:color="000000"/>
              <w:right w:val="none" w:sz="4" w:space="0" w:color="000000"/>
            </w:tcBorders>
            <w:shd w:val="clear" w:color="auto" w:fill="auto"/>
          </w:tcPr>
          <w:p w14:paraId="745A1451" w14:textId="77777777" w:rsidR="00FA1A4F" w:rsidRDefault="00FA1A4F">
            <w:pPr>
              <w:rPr>
                <w:b/>
                <w:sz w:val="24"/>
                <w:szCs w:val="24"/>
              </w:rPr>
            </w:pPr>
          </w:p>
        </w:tc>
      </w:tr>
    </w:tbl>
    <w:p w14:paraId="750AA7D6" w14:textId="77777777" w:rsidR="00FA1A4F" w:rsidRDefault="00B74160">
      <w:pPr>
        <w:pBdr>
          <w:top w:val="single" w:sz="4" w:space="1" w:color="000000"/>
          <w:left w:val="single" w:sz="4" w:space="4" w:color="000000"/>
          <w:bottom w:val="single" w:sz="4" w:space="1" w:color="000000"/>
          <w:right w:val="single" w:sz="4" w:space="4" w:color="000000"/>
        </w:pBdr>
        <w:spacing w:after="0" w:line="240" w:lineRule="auto"/>
        <w:rPr>
          <w:b/>
          <w:sz w:val="24"/>
          <w:szCs w:val="24"/>
        </w:rPr>
      </w:pPr>
      <w:r>
        <w:rPr>
          <w:b/>
          <w:sz w:val="24"/>
          <w:szCs w:val="24"/>
        </w:rPr>
        <w:t>RULES PROPOSED FOR REPEAL (list rule number[s]):</w:t>
      </w:r>
    </w:p>
    <w:tbl>
      <w:tblPr>
        <w:tblStyle w:val="TableGrid"/>
        <w:tblW w:w="0" w:type="auto"/>
        <w:tblLook w:val="04A0" w:firstRow="1" w:lastRow="0" w:firstColumn="1" w:lastColumn="0" w:noHBand="0" w:noVBand="1"/>
      </w:tblPr>
      <w:tblGrid>
        <w:gridCol w:w="10790"/>
      </w:tblGrid>
      <w:tr w:rsidR="00FA1A4F" w14:paraId="360CDA2E" w14:textId="77777777">
        <w:trPr>
          <w:trHeight w:val="720"/>
        </w:trPr>
        <w:tc>
          <w:tcPr>
            <w:tcW w:w="10790" w:type="dxa"/>
            <w:shd w:val="clear" w:color="auto" w:fill="D9D9D9" w:themeFill="background1" w:themeFillShade="D9"/>
          </w:tcPr>
          <w:p w14:paraId="34D5BC1F" w14:textId="77777777" w:rsidR="00FA1A4F" w:rsidRDefault="00FA1A4F"/>
          <w:p w14:paraId="13AC0416" w14:textId="77777777" w:rsidR="00FA1A4F" w:rsidRDefault="00FA1A4F"/>
          <w:p w14:paraId="49258A19" w14:textId="77777777" w:rsidR="00FA1A4F" w:rsidRDefault="00B74160">
            <w:r>
              <w:rPr>
                <w:sz w:val="24"/>
                <w:szCs w:val="24"/>
              </w:rPr>
              <w:t>761.380.5 Operational restrictions.</w:t>
            </w:r>
            <w:r>
              <w:rPr>
                <w:sz w:val="24"/>
                <w:szCs w:val="24"/>
              </w:rPr>
              <w:tab/>
            </w:r>
          </w:p>
          <w:p w14:paraId="402FAD36" w14:textId="77777777" w:rsidR="00FA1A4F" w:rsidRDefault="00FA1A4F">
            <w:pPr>
              <w:rPr>
                <w:sz w:val="24"/>
                <w:szCs w:val="24"/>
              </w:rPr>
            </w:pPr>
          </w:p>
          <w:p w14:paraId="0014B914" w14:textId="77777777" w:rsidR="00FA1A4F" w:rsidRDefault="00FA1A4F">
            <w:pPr>
              <w:rPr>
                <w:b/>
                <w:sz w:val="24"/>
                <w:szCs w:val="24"/>
              </w:rPr>
            </w:pPr>
          </w:p>
        </w:tc>
      </w:tr>
    </w:tbl>
    <w:p w14:paraId="261AED1B" w14:textId="77777777" w:rsidR="00FA1A4F" w:rsidRDefault="00FA1A4F">
      <w:pPr>
        <w:spacing w:after="0"/>
        <w:rPr>
          <w:b/>
          <w:sz w:val="24"/>
          <w:szCs w:val="24"/>
        </w:rPr>
      </w:pPr>
    </w:p>
    <w:p w14:paraId="7206F67A" w14:textId="77777777" w:rsidR="00FA1A4F" w:rsidRDefault="00B74160">
      <w:pPr>
        <w:pBdr>
          <w:top w:val="single" w:sz="4" w:space="1" w:color="000000"/>
          <w:left w:val="single" w:sz="4" w:space="4" w:color="000000"/>
          <w:bottom w:val="single" w:sz="4" w:space="1" w:color="000000"/>
          <w:right w:val="single" w:sz="4" w:space="4" w:color="000000"/>
        </w:pBdr>
        <w:spacing w:after="0" w:line="240" w:lineRule="auto"/>
        <w:rPr>
          <w:b/>
          <w:sz w:val="24"/>
          <w:szCs w:val="24"/>
        </w:rPr>
      </w:pPr>
      <w:r>
        <w:rPr>
          <w:b/>
          <w:sz w:val="24"/>
          <w:szCs w:val="24"/>
        </w:rPr>
        <w:t xml:space="preserve">RULES PROPOSED FOR RE-PROMULGATION (list rule number[s] or include rule </w:t>
      </w:r>
      <w:r>
        <w:rPr>
          <w:b/>
          <w:sz w:val="24"/>
          <w:szCs w:val="24"/>
        </w:rPr>
        <w:t>text if available):</w:t>
      </w:r>
    </w:p>
    <w:tbl>
      <w:tblPr>
        <w:tblStyle w:val="TableGrid"/>
        <w:tblW w:w="0" w:type="auto"/>
        <w:tblLook w:val="04A0" w:firstRow="1" w:lastRow="0" w:firstColumn="1" w:lastColumn="0" w:noHBand="0" w:noVBand="1"/>
      </w:tblPr>
      <w:tblGrid>
        <w:gridCol w:w="10790"/>
      </w:tblGrid>
      <w:tr w:rsidR="00FA1A4F" w14:paraId="0C959F42" w14:textId="77777777">
        <w:tc>
          <w:tcPr>
            <w:tcW w:w="10790" w:type="dxa"/>
            <w:shd w:val="clear" w:color="auto" w:fill="D9D9D9" w:themeFill="background1" w:themeFillShade="D9"/>
          </w:tcPr>
          <w:p w14:paraId="102AA614" w14:textId="77777777" w:rsidR="00FA1A4F" w:rsidRDefault="00B74160">
            <w:pPr>
              <w:rPr>
                <w:b/>
                <w:sz w:val="24"/>
                <w:szCs w:val="24"/>
              </w:rPr>
            </w:pPr>
            <w:r>
              <w:rPr>
                <w:sz w:val="24"/>
                <w:szCs w:val="24"/>
              </w:rPr>
              <w:t>761.380.1 Applicability.</w:t>
            </w:r>
          </w:p>
          <w:p w14:paraId="4F31F534" w14:textId="77777777" w:rsidR="00FA1A4F" w:rsidRDefault="00B74160">
            <w:pPr>
              <w:rPr>
                <w:b/>
                <w:sz w:val="24"/>
                <w:szCs w:val="24"/>
              </w:rPr>
            </w:pPr>
            <w:r>
              <w:rPr>
                <w:sz w:val="24"/>
                <w:szCs w:val="24"/>
              </w:rPr>
              <w:t>761.380.2 Definitions.</w:t>
            </w:r>
          </w:p>
          <w:p w14:paraId="4A989E9C" w14:textId="77777777" w:rsidR="00FA1A4F" w:rsidRDefault="00B74160">
            <w:pPr>
              <w:rPr>
                <w:b/>
                <w:sz w:val="24"/>
                <w:szCs w:val="24"/>
              </w:rPr>
            </w:pPr>
            <w:r>
              <w:rPr>
                <w:sz w:val="24"/>
                <w:szCs w:val="24"/>
              </w:rPr>
              <w:t>761.380.3 Information and addresses.</w:t>
            </w:r>
          </w:p>
          <w:p w14:paraId="5C09B4E4" w14:textId="77777777" w:rsidR="00FA1A4F" w:rsidRDefault="00B74160">
            <w:pPr>
              <w:rPr>
                <w:b/>
                <w:sz w:val="24"/>
                <w:szCs w:val="24"/>
              </w:rPr>
            </w:pPr>
            <w:r>
              <w:rPr>
                <w:sz w:val="24"/>
                <w:szCs w:val="24"/>
              </w:rPr>
              <w:t>761.380.4 Registration of driverless-capable vehicles.</w:t>
            </w:r>
          </w:p>
          <w:p w14:paraId="7B6D7015" w14:textId="77777777" w:rsidR="00FA1A4F" w:rsidRDefault="00B74160">
            <w:pPr>
              <w:rPr>
                <w:b/>
                <w:sz w:val="24"/>
                <w:szCs w:val="24"/>
              </w:rPr>
            </w:pPr>
            <w:r>
              <w:rPr>
                <w:sz w:val="24"/>
                <w:szCs w:val="24"/>
              </w:rPr>
              <w:lastRenderedPageBreak/>
              <w:t>761.380.5 Driverless-capable vehicle exemption.</w:t>
            </w:r>
          </w:p>
          <w:p w14:paraId="3071CCFE" w14:textId="77777777" w:rsidR="00FA1A4F" w:rsidRDefault="00B74160">
            <w:pPr>
              <w:rPr>
                <w:b/>
                <w:sz w:val="24"/>
                <w:szCs w:val="24"/>
              </w:rPr>
            </w:pPr>
            <w:r>
              <w:rPr>
                <w:sz w:val="24"/>
                <w:szCs w:val="24"/>
              </w:rPr>
              <w:t>761.380.6 Submission in aggregate.</w:t>
            </w:r>
          </w:p>
          <w:p w14:paraId="18D1ED64" w14:textId="77777777" w:rsidR="00FA1A4F" w:rsidRDefault="00FA1A4F">
            <w:pPr>
              <w:rPr>
                <w:sz w:val="24"/>
                <w:szCs w:val="24"/>
              </w:rPr>
            </w:pPr>
          </w:p>
          <w:p w14:paraId="488CC2E2" w14:textId="77777777" w:rsidR="00FA1A4F" w:rsidRDefault="00B74160">
            <w:pPr>
              <w:rPr>
                <w:sz w:val="24"/>
                <w:szCs w:val="24"/>
              </w:rPr>
            </w:pPr>
            <w:r>
              <w:rPr>
                <w:sz w:val="24"/>
                <w:szCs w:val="24"/>
              </w:rPr>
              <w:t>See attached for rule text.</w:t>
            </w:r>
          </w:p>
          <w:p w14:paraId="5B1D42B9" w14:textId="77777777" w:rsidR="00FA1A4F" w:rsidRDefault="00FA1A4F">
            <w:pPr>
              <w:rPr>
                <w:b/>
                <w:bCs/>
                <w:sz w:val="24"/>
                <w:szCs w:val="24"/>
              </w:rPr>
            </w:pPr>
          </w:p>
        </w:tc>
      </w:tr>
    </w:tbl>
    <w:p w14:paraId="630B579A" w14:textId="77777777" w:rsidR="00FA1A4F" w:rsidRDefault="00B74160">
      <w:pPr>
        <w:pBdr>
          <w:top w:val="single" w:sz="4" w:space="1" w:color="000000"/>
          <w:left w:val="single" w:sz="4" w:space="4" w:color="000000"/>
          <w:bottom w:val="single" w:sz="4" w:space="1" w:color="000000"/>
          <w:right w:val="single" w:sz="4" w:space="4" w:color="000000"/>
        </w:pBdr>
        <w:shd w:val="clear" w:color="auto" w:fill="FFFF00"/>
        <w:spacing w:after="0" w:line="240" w:lineRule="auto"/>
        <w:rPr>
          <w:b/>
          <w:i/>
          <w:sz w:val="24"/>
          <w:szCs w:val="24"/>
        </w:rPr>
      </w:pPr>
      <w:r>
        <w:rPr>
          <w:b/>
          <w:i/>
          <w:sz w:val="24"/>
          <w:szCs w:val="24"/>
        </w:rPr>
        <w:lastRenderedPageBreak/>
        <w:t>*For rules being re-promulgated with changes, you may attach a document with suggested changes.</w:t>
      </w:r>
    </w:p>
    <w:p w14:paraId="452CAABA" w14:textId="77777777" w:rsidR="00FA1A4F" w:rsidRDefault="00FA1A4F">
      <w:pPr>
        <w:spacing w:after="0" w:line="240" w:lineRule="auto"/>
        <w:rPr>
          <w:b/>
          <w:sz w:val="24"/>
          <w:szCs w:val="24"/>
        </w:rPr>
      </w:pPr>
    </w:p>
    <w:p w14:paraId="5D9E7E1B" w14:textId="77777777" w:rsidR="00FA1A4F" w:rsidRDefault="00B74160">
      <w:pPr>
        <w:spacing w:after="0" w:line="240" w:lineRule="auto"/>
        <w:jc w:val="center"/>
        <w:rPr>
          <w:b/>
          <w:sz w:val="24"/>
          <w:szCs w:val="24"/>
        </w:rPr>
      </w:pPr>
      <w:r>
        <w:rPr>
          <w:b/>
          <w:sz w:val="24"/>
          <w:szCs w:val="24"/>
        </w:rPr>
        <w:t>METRICS</w:t>
      </w:r>
    </w:p>
    <w:tbl>
      <w:tblPr>
        <w:tblStyle w:val="TableGrid"/>
        <w:tblW w:w="0" w:type="auto"/>
        <w:tblLook w:val="04A0" w:firstRow="1" w:lastRow="0" w:firstColumn="1" w:lastColumn="0" w:noHBand="0" w:noVBand="1"/>
      </w:tblPr>
      <w:tblGrid>
        <w:gridCol w:w="8815"/>
        <w:gridCol w:w="1975"/>
      </w:tblGrid>
      <w:tr w:rsidR="00FA1A4F" w14:paraId="14F5F3F4" w14:textId="77777777">
        <w:tc>
          <w:tcPr>
            <w:tcW w:w="8815" w:type="dxa"/>
          </w:tcPr>
          <w:p w14:paraId="2458B82A" w14:textId="77777777" w:rsidR="00FA1A4F" w:rsidRDefault="00B74160">
            <w:pPr>
              <w:rPr>
                <w:b/>
                <w:sz w:val="24"/>
                <w:szCs w:val="24"/>
              </w:rPr>
            </w:pPr>
            <w:r>
              <w:rPr>
                <w:b/>
                <w:sz w:val="24"/>
                <w:szCs w:val="24"/>
              </w:rPr>
              <w:t>Total number of rules repealed:</w:t>
            </w:r>
          </w:p>
        </w:tc>
        <w:tc>
          <w:tcPr>
            <w:tcW w:w="1975" w:type="dxa"/>
            <w:shd w:val="clear" w:color="auto" w:fill="D9D9D9" w:themeFill="background1" w:themeFillShade="D9"/>
          </w:tcPr>
          <w:p w14:paraId="7A9DDB60" w14:textId="77777777" w:rsidR="00FA1A4F" w:rsidRDefault="00B74160">
            <w:pPr>
              <w:rPr>
                <w:b/>
                <w:sz w:val="24"/>
                <w:szCs w:val="24"/>
              </w:rPr>
            </w:pPr>
            <w:r>
              <w:rPr>
                <w:b/>
                <w:sz w:val="24"/>
                <w:szCs w:val="24"/>
              </w:rPr>
              <w:t>1</w:t>
            </w:r>
          </w:p>
        </w:tc>
      </w:tr>
      <w:tr w:rsidR="00FA1A4F" w14:paraId="03BA0541" w14:textId="77777777">
        <w:tc>
          <w:tcPr>
            <w:tcW w:w="8815" w:type="dxa"/>
          </w:tcPr>
          <w:p w14:paraId="3A9C97B4" w14:textId="77777777" w:rsidR="00FA1A4F" w:rsidRDefault="00B74160">
            <w:pPr>
              <w:rPr>
                <w:b/>
                <w:sz w:val="24"/>
                <w:szCs w:val="24"/>
              </w:rPr>
            </w:pPr>
            <w:r>
              <w:rPr>
                <w:b/>
                <w:sz w:val="24"/>
                <w:szCs w:val="24"/>
              </w:rPr>
              <w:t>Proposed word count reduction after repeal and/or re-promulgation</w:t>
            </w:r>
          </w:p>
        </w:tc>
        <w:tc>
          <w:tcPr>
            <w:tcW w:w="1975" w:type="dxa"/>
            <w:shd w:val="clear" w:color="auto" w:fill="D9D9D9" w:themeFill="background1" w:themeFillShade="D9"/>
          </w:tcPr>
          <w:p w14:paraId="2474B9D8" w14:textId="77777777" w:rsidR="00FA1A4F" w:rsidRDefault="00B74160">
            <w:pPr>
              <w:rPr>
                <w:b/>
                <w:sz w:val="24"/>
                <w:szCs w:val="24"/>
              </w:rPr>
            </w:pPr>
            <w:r>
              <w:rPr>
                <w:b/>
                <w:sz w:val="24"/>
                <w:szCs w:val="24"/>
              </w:rPr>
              <w:t>431</w:t>
            </w:r>
          </w:p>
        </w:tc>
      </w:tr>
      <w:tr w:rsidR="00FA1A4F" w14:paraId="16FF53F3" w14:textId="77777777">
        <w:tc>
          <w:tcPr>
            <w:tcW w:w="8815" w:type="dxa"/>
          </w:tcPr>
          <w:p w14:paraId="12684A2F" w14:textId="77777777" w:rsidR="00FA1A4F" w:rsidRDefault="00B74160">
            <w:pPr>
              <w:rPr>
                <w:b/>
                <w:sz w:val="24"/>
                <w:szCs w:val="24"/>
              </w:rPr>
            </w:pPr>
            <w:r>
              <w:rPr>
                <w:b/>
                <w:sz w:val="24"/>
                <w:szCs w:val="24"/>
              </w:rPr>
              <w:t>Proposed number of restrictive terms eliminated after repeal and/or re-promulgation</w:t>
            </w:r>
          </w:p>
        </w:tc>
        <w:tc>
          <w:tcPr>
            <w:tcW w:w="1975" w:type="dxa"/>
            <w:shd w:val="clear" w:color="auto" w:fill="D9D9D9" w:themeFill="background1" w:themeFillShade="D9"/>
          </w:tcPr>
          <w:p w14:paraId="45F2B00F" w14:textId="77777777" w:rsidR="00FA1A4F" w:rsidRDefault="00B74160">
            <w:pPr>
              <w:rPr>
                <w:b/>
                <w:sz w:val="24"/>
                <w:szCs w:val="24"/>
              </w:rPr>
            </w:pPr>
            <w:r>
              <w:rPr>
                <w:b/>
                <w:sz w:val="24"/>
                <w:szCs w:val="24"/>
              </w:rPr>
              <w:t>18</w:t>
            </w:r>
          </w:p>
        </w:tc>
      </w:tr>
    </w:tbl>
    <w:p w14:paraId="5C446053" w14:textId="77777777" w:rsidR="00FA1A4F" w:rsidRDefault="00FA1A4F">
      <w:pPr>
        <w:spacing w:after="0" w:line="240" w:lineRule="auto"/>
        <w:rPr>
          <w:b/>
          <w:sz w:val="24"/>
          <w:szCs w:val="24"/>
        </w:rPr>
      </w:pPr>
    </w:p>
    <w:p w14:paraId="46304231" w14:textId="77777777" w:rsidR="00FA1A4F" w:rsidRDefault="00B74160">
      <w:pPr>
        <w:pBdr>
          <w:top w:val="single" w:sz="4" w:space="1" w:color="000000"/>
          <w:left w:val="single" w:sz="4" w:space="4" w:color="000000"/>
          <w:bottom w:val="single" w:sz="4" w:space="1" w:color="000000"/>
          <w:right w:val="single" w:sz="4" w:space="4" w:color="000000"/>
        </w:pBdr>
        <w:spacing w:after="0" w:line="240" w:lineRule="auto"/>
        <w:rPr>
          <w:b/>
          <w:sz w:val="24"/>
          <w:szCs w:val="24"/>
        </w:rPr>
      </w:pPr>
      <w:r>
        <w:rPr>
          <w:b/>
          <w:sz w:val="24"/>
          <w:szCs w:val="24"/>
        </w:rPr>
        <w:t xml:space="preserve">ARE THERE ANY </w:t>
      </w:r>
      <w:r>
        <w:rPr>
          <w:b/>
          <w:sz w:val="24"/>
          <w:szCs w:val="24"/>
        </w:rPr>
        <w:t>STATUTORY CHANGES YOU WOULD RECOMMEND INCLUDING CODIFYING ANY RULES?</w:t>
      </w:r>
    </w:p>
    <w:tbl>
      <w:tblPr>
        <w:tblStyle w:val="TableGrid"/>
        <w:tblW w:w="0" w:type="auto"/>
        <w:shd w:val="clear" w:color="auto" w:fill="D9D9D9" w:themeFill="background1" w:themeFillShade="D9"/>
        <w:tblLook w:val="04A0" w:firstRow="1" w:lastRow="0" w:firstColumn="1" w:lastColumn="0" w:noHBand="0" w:noVBand="1"/>
      </w:tblPr>
      <w:tblGrid>
        <w:gridCol w:w="10790"/>
      </w:tblGrid>
      <w:tr w:rsidR="00FA1A4F" w14:paraId="5DEC7F9B" w14:textId="77777777">
        <w:tc>
          <w:tcPr>
            <w:tcW w:w="10790" w:type="dxa"/>
            <w:shd w:val="clear" w:color="auto" w:fill="D9D9D9" w:themeFill="background1" w:themeFillShade="D9"/>
          </w:tcPr>
          <w:p w14:paraId="44683D2C" w14:textId="77777777" w:rsidR="00FA1A4F" w:rsidRDefault="00B74160">
            <w:pPr>
              <w:rPr>
                <w:sz w:val="24"/>
                <w:szCs w:val="24"/>
              </w:rPr>
            </w:pPr>
            <w:r>
              <w:rPr>
                <w:sz w:val="24"/>
                <w:szCs w:val="24"/>
              </w:rPr>
              <w:t>Yes.</w:t>
            </w:r>
          </w:p>
          <w:p w14:paraId="6DFFA5FC" w14:textId="77777777" w:rsidR="00FA1A4F" w:rsidRDefault="00FA1A4F">
            <w:pPr>
              <w:rPr>
                <w:b/>
                <w:bCs/>
                <w:sz w:val="24"/>
                <w:szCs w:val="24"/>
              </w:rPr>
            </w:pPr>
          </w:p>
          <w:p w14:paraId="038FAF0F" w14:textId="77777777" w:rsidR="00FA1A4F" w:rsidRDefault="00B74160">
            <w:pPr>
              <w:rPr>
                <w:sz w:val="24"/>
                <w:szCs w:val="24"/>
              </w:rPr>
            </w:pPr>
            <w:r>
              <w:rPr>
                <w:sz w:val="24"/>
                <w:szCs w:val="24"/>
              </w:rPr>
              <w:t>During the Department’s discussions with stakeholders, the Alliance for Automotive Innovation requested that the term “driverless-capable vehicle” in Iowa Code section 321.514 be re</w:t>
            </w:r>
            <w:r>
              <w:rPr>
                <w:sz w:val="24"/>
                <w:szCs w:val="24"/>
              </w:rPr>
              <w:t>placed with “ADS-equipped vehicle,” which aligns with standardized industry terminology and is the term used in SAE J3016.</w:t>
            </w:r>
          </w:p>
          <w:p w14:paraId="3A3B8554" w14:textId="77777777" w:rsidR="00FA1A4F" w:rsidRDefault="00FA1A4F">
            <w:pPr>
              <w:rPr>
                <w:sz w:val="24"/>
                <w:szCs w:val="24"/>
              </w:rPr>
            </w:pPr>
          </w:p>
          <w:p w14:paraId="1876A7CF" w14:textId="77777777" w:rsidR="00FA1A4F" w:rsidRDefault="00B74160">
            <w:pPr>
              <w:rPr>
                <w:b/>
                <w:sz w:val="24"/>
                <w:szCs w:val="24"/>
              </w:rPr>
            </w:pPr>
            <w:r>
              <w:rPr>
                <w:sz w:val="24"/>
                <w:szCs w:val="24"/>
              </w:rPr>
              <w:t>Additionally, the Department recommends codifying a definition for “public highways” which is a term that appears in Iowa Code secti</w:t>
            </w:r>
            <w:r>
              <w:rPr>
                <w:sz w:val="24"/>
                <w:szCs w:val="24"/>
              </w:rPr>
              <w:t>ons 321.514-321.519 but is not defined in the statute. The chapter previously included a definition of “public highway” but determined that adoption of the definition is more appropriate in statute than in this chapter. The Department recommends the defini</w:t>
            </w:r>
            <w:r>
              <w:rPr>
                <w:sz w:val="24"/>
                <w:szCs w:val="24"/>
              </w:rPr>
              <w:t>tion align with the terms “street” and “highway” as defined in Iowa Code section 321.1.</w:t>
            </w:r>
          </w:p>
          <w:p w14:paraId="1B105DD5" w14:textId="77777777" w:rsidR="00FA1A4F" w:rsidRDefault="00FA1A4F">
            <w:pPr>
              <w:rPr>
                <w:b/>
                <w:sz w:val="24"/>
                <w:szCs w:val="24"/>
              </w:rPr>
            </w:pPr>
          </w:p>
        </w:tc>
      </w:tr>
    </w:tbl>
    <w:p w14:paraId="54E8453C" w14:textId="77777777" w:rsidR="00FA1A4F" w:rsidRDefault="00FA1A4F">
      <w:pPr>
        <w:spacing w:after="0" w:line="240" w:lineRule="auto"/>
        <w:rPr>
          <w:b/>
          <w:sz w:val="24"/>
          <w:szCs w:val="24"/>
        </w:rPr>
      </w:pPr>
    </w:p>
    <w:sectPr w:rsidR="00FA1A4F">
      <w:footerReference w:type="default" r:id="rId11"/>
      <w:pgSz w:w="12240" w:h="15840" w:orient="landscape"/>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79A7E" w14:textId="77777777" w:rsidR="00FA1A4F" w:rsidRDefault="00B74160">
      <w:pPr>
        <w:spacing w:after="0" w:line="240" w:lineRule="auto"/>
      </w:pPr>
      <w:r>
        <w:separator/>
      </w:r>
    </w:p>
  </w:endnote>
  <w:endnote w:type="continuationSeparator" w:id="0">
    <w:p w14:paraId="623ED446" w14:textId="77777777" w:rsidR="00FA1A4F" w:rsidRDefault="00B741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6777992"/>
      <w:docPartObj>
        <w:docPartGallery w:val="Page Numbers (Bottom of Page)"/>
        <w:docPartUnique/>
      </w:docPartObj>
    </w:sdtPr>
    <w:sdtEndPr/>
    <w:sdtContent>
      <w:p w14:paraId="3F0FC433" w14:textId="77777777" w:rsidR="00FA1A4F" w:rsidRDefault="00B74160">
        <w:pPr>
          <w:pStyle w:val="Footer"/>
          <w:jc w:val="center"/>
        </w:pPr>
        <w:r>
          <w:fldChar w:fldCharType="begin"/>
        </w:r>
        <w:r>
          <w:instrText xml:space="preserve"> PAGE   \* MERGEFORMAT </w:instrText>
        </w:r>
        <w:r>
          <w:fldChar w:fldCharType="separate"/>
        </w:r>
        <w:r>
          <w:t>2</w:t>
        </w:r>
        <w:r>
          <w:fldChar w:fldCharType="end"/>
        </w:r>
      </w:p>
    </w:sdtContent>
  </w:sdt>
  <w:p w14:paraId="5AE6B969" w14:textId="77777777" w:rsidR="00FA1A4F" w:rsidRDefault="00FA1A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3C5A9" w14:textId="77777777" w:rsidR="00FA1A4F" w:rsidRDefault="00B74160">
      <w:pPr>
        <w:spacing w:after="0" w:line="240" w:lineRule="auto"/>
      </w:pPr>
      <w:r>
        <w:separator/>
      </w:r>
    </w:p>
  </w:footnote>
  <w:footnote w:type="continuationSeparator" w:id="0">
    <w:p w14:paraId="6EA2E066" w14:textId="77777777" w:rsidR="00FA1A4F" w:rsidRDefault="00B741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17A24"/>
    <w:multiLevelType w:val="multilevel"/>
    <w:tmpl w:val="30CC4804"/>
    <w:lvl w:ilvl="0">
      <w:start w:val="1"/>
      <w:numFmt w:val="bullet"/>
      <w:lvlText w:val="–"/>
      <w:lvlJc w:val="left"/>
      <w:pPr>
        <w:ind w:left="709" w:hanging="360"/>
      </w:pPr>
      <w:rPr>
        <w:rFonts w:ascii="Arial" w:eastAsia="Arial" w:hAnsi="Arial" w:cs="Arial" w:hint="default"/>
      </w:r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abstractNum w:abstractNumId="1" w15:restartNumberingAfterBreak="0">
    <w:nsid w:val="1E8F7CB8"/>
    <w:multiLevelType w:val="multilevel"/>
    <w:tmpl w:val="FC6AF884"/>
    <w:lvl w:ilvl="0">
      <w:start w:val="1"/>
      <w:numFmt w:val="bullet"/>
      <w:lvlText w:val="–"/>
      <w:lvlJc w:val="left"/>
      <w:pPr>
        <w:ind w:left="709" w:hanging="360"/>
      </w:pPr>
      <w:rPr>
        <w:rFonts w:ascii="Arial" w:eastAsia="Arial" w:hAnsi="Arial" w:cs="Arial" w:hint="default"/>
      </w:r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abstractNum w:abstractNumId="2" w15:restartNumberingAfterBreak="0">
    <w:nsid w:val="34BB2802"/>
    <w:multiLevelType w:val="multilevel"/>
    <w:tmpl w:val="291ECE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6751C51"/>
    <w:multiLevelType w:val="multilevel"/>
    <w:tmpl w:val="EA681CB4"/>
    <w:lvl w:ilvl="0">
      <w:start w:val="1"/>
      <w:numFmt w:val="bullet"/>
      <w:lvlText w:val="–"/>
      <w:lvlJc w:val="left"/>
      <w:pPr>
        <w:ind w:left="709" w:hanging="360"/>
      </w:pPr>
      <w:rPr>
        <w:rFonts w:ascii="Arial" w:eastAsia="Arial" w:hAnsi="Arial" w:cs="Arial" w:hint="default"/>
      </w:r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num w:numId="1" w16cid:durableId="1087504414">
    <w:abstractNumId w:val="2"/>
  </w:num>
  <w:num w:numId="2" w16cid:durableId="155998780">
    <w:abstractNumId w:val="1"/>
  </w:num>
  <w:num w:numId="3" w16cid:durableId="1984002576">
    <w:abstractNumId w:val="0"/>
  </w:num>
  <w:num w:numId="4" w16cid:durableId="17922808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A4F"/>
    <w:rsid w:val="0088683A"/>
    <w:rsid w:val="00B74160"/>
    <w:rsid w:val="00FA1A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5DBA3E-1649-4667-AF23-D2E0B282D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200"/>
      <w:outlineLvl w:val="0"/>
    </w:pPr>
    <w:rPr>
      <w:rFonts w:ascii="Arial" w:eastAsia="Arial" w:hAnsi="Arial" w:cs="Arial"/>
      <w:sz w:val="40"/>
      <w:szCs w:val="40"/>
    </w:rPr>
  </w:style>
  <w:style w:type="paragraph" w:styleId="Heading2">
    <w:name w:val="heading 2"/>
    <w:basedOn w:val="Normal"/>
    <w:next w:val="Normal"/>
    <w:link w:val="Heading2Char"/>
    <w:uiPriority w:val="9"/>
    <w:unhideWhenUsed/>
    <w:qFormat/>
    <w:pPr>
      <w:keepNext/>
      <w:keepLines/>
      <w:spacing w:before="360" w:after="200"/>
      <w:outlineLvl w:val="1"/>
    </w:pPr>
    <w:rPr>
      <w:rFonts w:ascii="Arial" w:eastAsia="Arial" w:hAnsi="Arial" w:cs="Arial"/>
      <w:sz w:val="34"/>
    </w:rPr>
  </w:style>
  <w:style w:type="paragraph" w:styleId="Heading3">
    <w:name w:val="heading 3"/>
    <w:basedOn w:val="Normal"/>
    <w:next w:val="Normal"/>
    <w:link w:val="Heading3Char"/>
    <w:uiPriority w:val="9"/>
    <w:unhideWhenUsed/>
    <w:qFormat/>
    <w:pPr>
      <w:keepNext/>
      <w:keepLines/>
      <w:spacing w:before="320" w:after="200"/>
      <w:outlineLvl w:val="2"/>
    </w:pPr>
    <w:rPr>
      <w:rFonts w:ascii="Arial" w:eastAsia="Arial" w:hAnsi="Arial" w:cs="Arial"/>
      <w:sz w:val="30"/>
      <w:szCs w:val="30"/>
    </w:rPr>
  </w:style>
  <w:style w:type="paragraph" w:styleId="Heading4">
    <w:name w:val="heading 4"/>
    <w:basedOn w:val="Normal"/>
    <w:next w:val="Normal"/>
    <w:link w:val="Heading4Char"/>
    <w:uiPriority w:val="9"/>
    <w:unhideWhenUsed/>
    <w:qFormat/>
    <w:pPr>
      <w:keepNext/>
      <w:keepLines/>
      <w:spacing w:before="320" w:after="200"/>
      <w:outlineLvl w:val="3"/>
    </w:pPr>
    <w:rPr>
      <w:rFonts w:ascii="Arial" w:eastAsia="Arial" w:hAnsi="Arial" w:cs="Arial"/>
      <w:b/>
      <w:bCs/>
      <w:sz w:val="26"/>
      <w:szCs w:val="26"/>
    </w:rPr>
  </w:style>
  <w:style w:type="paragraph" w:styleId="Heading5">
    <w:name w:val="heading 5"/>
    <w:basedOn w:val="Normal"/>
    <w:next w:val="Normal"/>
    <w:link w:val="Heading5Char"/>
    <w:uiPriority w:val="9"/>
    <w:unhideWhenUsed/>
    <w:qFormat/>
    <w:pPr>
      <w:keepNext/>
      <w:keepLines/>
      <w:spacing w:before="320" w:after="200"/>
      <w:outlineLvl w:val="4"/>
    </w:pPr>
    <w:rPr>
      <w:rFonts w:ascii="Arial" w:eastAsia="Arial" w:hAnsi="Arial" w:cs="Arial"/>
      <w:b/>
      <w:bCs/>
      <w:sz w:val="24"/>
      <w:szCs w:val="24"/>
    </w:rPr>
  </w:style>
  <w:style w:type="paragraph" w:styleId="Heading6">
    <w:name w:val="heading 6"/>
    <w:basedOn w:val="Normal"/>
    <w:next w:val="Normal"/>
    <w:link w:val="Heading6Char"/>
    <w:uiPriority w:val="9"/>
    <w:unhideWhenUsed/>
    <w:qFormat/>
    <w:pPr>
      <w:keepNext/>
      <w:keepLines/>
      <w:spacing w:before="320" w:after="200"/>
      <w:outlineLvl w:val="5"/>
    </w:pPr>
    <w:rPr>
      <w:rFonts w:ascii="Arial" w:eastAsia="Arial" w:hAnsi="Arial" w:cs="Arial"/>
      <w:b/>
      <w:bCs/>
    </w:rPr>
  </w:style>
  <w:style w:type="paragraph" w:styleId="Heading7">
    <w:name w:val="heading 7"/>
    <w:basedOn w:val="Normal"/>
    <w:next w:val="Normal"/>
    <w:link w:val="Heading7Char"/>
    <w:uiPriority w:val="9"/>
    <w:unhideWhenUsed/>
    <w:qFormat/>
    <w:pPr>
      <w:keepNext/>
      <w:keepLines/>
      <w:spacing w:before="320" w:after="200"/>
      <w:outlineLvl w:val="6"/>
    </w:pPr>
    <w:rPr>
      <w:rFonts w:ascii="Arial" w:eastAsia="Arial" w:hAnsi="Arial" w:cs="Arial"/>
      <w:b/>
      <w:bCs/>
      <w:i/>
      <w:iCs/>
    </w:rPr>
  </w:style>
  <w:style w:type="paragraph" w:styleId="Heading8">
    <w:name w:val="heading 8"/>
    <w:basedOn w:val="Normal"/>
    <w:next w:val="Normal"/>
    <w:link w:val="Heading8Char"/>
    <w:uiPriority w:val="9"/>
    <w:unhideWhenUsed/>
    <w:qFormat/>
    <w:pPr>
      <w:keepNext/>
      <w:keepLines/>
      <w:spacing w:before="320" w:after="200"/>
      <w:outlineLvl w:val="7"/>
    </w:pPr>
    <w:rPr>
      <w:rFonts w:ascii="Arial" w:eastAsia="Arial" w:hAnsi="Arial" w:cs="Arial"/>
      <w:i/>
      <w:iCs/>
    </w:rPr>
  </w:style>
  <w:style w:type="paragraph" w:styleId="Heading9">
    <w:name w:val="heading 9"/>
    <w:basedOn w:val="Normal"/>
    <w:next w:val="Normal"/>
    <w:link w:val="Heading9Char"/>
    <w:uiPriority w:val="9"/>
    <w:unhideWhenUsed/>
    <w:qFormat/>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Light">
    <w:name w:val="Grid Table Light"/>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GridTable1Light-Accent1">
    <w:name w:val="Grid Table 1 Light Accent 1"/>
    <w:basedOn w:val="TableNorma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styleId="GridTable1Light-Accent2">
    <w:name w:val="Grid Table 1 Light Accent 2"/>
    <w:basedOn w:val="Table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styleId="GridTable1Light-Accent3">
    <w:name w:val="Grid Table 1 Light Accent 3"/>
    <w:basedOn w:val="Table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styleId="GridTable1Light-Accent4">
    <w:name w:val="Grid Table 1 Light Accent 4"/>
    <w:basedOn w:val="Table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styleId="GridTable1Light-Accent5">
    <w:name w:val="Grid Table 1 Light Accent 5"/>
    <w:basedOn w:val="TableNorma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styleId="GridTable1Light-Accent6">
    <w:name w:val="Grid Table 1 Light Accent 6"/>
    <w:basedOn w:val="Table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ridTable2-Accent1">
    <w:name w:val="Grid Table 2 Accent 1"/>
    <w:basedOn w:val="Table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styleId="GridTable2-Accent2">
    <w:name w:val="Grid Table 2 Accent 2"/>
    <w:basedOn w:val="Table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2-Accent3">
    <w:name w:val="Grid Table 2 Accent 3"/>
    <w:basedOn w:val="Table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2-Accent4">
    <w:name w:val="Grid Table 2 Accent 4"/>
    <w:basedOn w:val="Table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2-Accent5">
    <w:name w:val="Grid Table 2 Accent 5"/>
    <w:basedOn w:val="Table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styleId="GridTable2-Accent6">
    <w:name w:val="Grid Table 2 Accent 6"/>
    <w:basedOn w:val="Table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3-Accent1">
    <w:name w:val="Grid Table 3 Accent 1"/>
    <w:basedOn w:val="Table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styleId="GridTable3-Accent2">
    <w:name w:val="Grid Table 3 Accent 2"/>
    <w:basedOn w:val="Table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3-Accent3">
    <w:name w:val="Grid Table 3 Accent 3"/>
    <w:basedOn w:val="Table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3-Accent4">
    <w:name w:val="Grid Table 3 Accent 4"/>
    <w:basedOn w:val="Table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3-Accent5">
    <w:name w:val="Grid Table 3 Accent 5"/>
    <w:basedOn w:val="Table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styleId="GridTable3-Accent6">
    <w:name w:val="Grid Table 3 Accent 6"/>
    <w:basedOn w:val="Table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4-Accent1">
    <w:name w:val="Grid Table 4 Accent 1"/>
    <w:basedOn w:val="TableNormal"/>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styleId="GridTable4-Accent2">
    <w:name w:val="Grid Table 4 Accent 2"/>
    <w:basedOn w:val="Table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4-Accent3">
    <w:name w:val="Grid Table 4 Accent 3"/>
    <w:basedOn w:val="Table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4-Accent4">
    <w:name w:val="Grid Table 4 Accent 4"/>
    <w:basedOn w:val="Table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4-Accent5">
    <w:name w:val="Grid Table 4 Accent 5"/>
    <w:basedOn w:val="TableNormal"/>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styleId="GridTable4-Accent6">
    <w:name w:val="Grid Table 4 Accent 6"/>
    <w:basedOn w:val="Table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5Dark-Accent2">
    <w:name w:val="Grid Table 5 Dark Accent 2"/>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styleId="GridTable5Dark-Accent3">
    <w:name w:val="Grid Table 5 Dark Accent 3"/>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styleId="GridTable5Dark-Accent5">
    <w:name w:val="Grid Table 5 Dark Accent 5"/>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styleId="GridTable5Dark-Accent6">
    <w:name w:val="Grid Table 5 Dark Accent 6"/>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ridTable6Colorful-Accent1">
    <w:name w:val="Grid Table 6 Colorful Accent 1"/>
    <w:basedOn w:val="TableNormal"/>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styleId="GridTable6Colorful-Accent2">
    <w:name w:val="Grid Table 6 Colorful Accent 2"/>
    <w:basedOn w:val="Table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styleId="GridTable6Colorful-Accent3">
    <w:name w:val="Grid Table 6 Colorful Accent 3"/>
    <w:basedOn w:val="Table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styleId="GridTable6Colorful-Accent4">
    <w:name w:val="Grid Table 6 Colorful Accent 4"/>
    <w:basedOn w:val="Table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styleId="GridTable6Colorful-Accent5">
    <w:name w:val="Grid Table 6 Colorful Accent 5"/>
    <w:basedOn w:val="TableNormal"/>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styleId="GridTable6Colorful-Accent6">
    <w:name w:val="Grid Table 6 Colorful Accent 6"/>
    <w:basedOn w:val="Table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GridTable7Colorful-Accent1">
    <w:name w:val="Grid Table 7 Colorful Accent 1"/>
    <w:basedOn w:val="TableNormal"/>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000000"/>
          <w:left w:val="none" w:sz="0" w:space="0" w:color="000000"/>
          <w:bottom w:val="single" w:sz="4" w:space="0" w:color="A0B7E1" w:themeColor="accent1" w:themeTint="80"/>
          <w:right w:val="none" w:sz="0"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000000"/>
          <w:left w:val="none" w:sz="0" w:space="0" w:color="000000"/>
          <w:bottom w:val="none" w:sz="0"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000000"/>
          <w:left w:val="single" w:sz="4" w:space="0" w:color="A0B7E1" w:themeColor="accent1" w:themeTint="80"/>
          <w:bottom w:val="none" w:sz="0" w:space="0" w:color="000000"/>
          <w:right w:val="none" w:sz="0"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styleId="GridTable7Colorful-Accent2">
    <w:name w:val="Grid Table 7 Colorful Accent 2"/>
    <w:basedOn w:val="Table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styleId="GridTable7Colorful-Accent3">
    <w:name w:val="Grid Table 7 Colorful Accent 3"/>
    <w:basedOn w:val="Table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000000"/>
          <w:left w:val="none" w:sz="0" w:space="0" w:color="000000"/>
          <w:bottom w:val="single" w:sz="4" w:space="0" w:color="A5A5A5" w:themeColor="accent3" w:themeTint="FE"/>
          <w:right w:val="none" w:sz="0"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000000"/>
          <w:left w:val="none" w:sz="0" w:space="0" w:color="000000"/>
          <w:bottom w:val="none" w:sz="0"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000000"/>
          <w:left w:val="single" w:sz="4" w:space="0" w:color="A5A5A5" w:themeColor="accent3" w:themeTint="FE"/>
          <w:bottom w:val="none" w:sz="0" w:space="0" w:color="000000"/>
          <w:right w:val="none" w:sz="0"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styleId="GridTable7Colorful-Accent4">
    <w:name w:val="Grid Table 7 Colorful Accent 4"/>
    <w:basedOn w:val="Table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styleId="GridTable7Colorful-Accent5">
    <w:name w:val="Grid Table 7 Colorful Accent 5"/>
    <w:basedOn w:val="TableNormal"/>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000000"/>
          <w:left w:val="none" w:sz="0" w:space="0" w:color="000000"/>
          <w:bottom w:val="single" w:sz="4" w:space="0" w:color="A2C6E7" w:themeColor="accent5" w:themeTint="90"/>
          <w:right w:val="none" w:sz="0"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000000"/>
          <w:left w:val="none" w:sz="0" w:space="0" w:color="000000"/>
          <w:bottom w:val="none" w:sz="0"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000000"/>
          <w:left w:val="single" w:sz="4" w:space="0" w:color="A2C6E7" w:themeColor="accent5" w:themeTint="90"/>
          <w:bottom w:val="none" w:sz="0" w:space="0" w:color="000000"/>
          <w:right w:val="none" w:sz="0"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styleId="GridTable7Colorful-Accent6">
    <w:name w:val="Grid Table 7 Colorful Accent 6"/>
    <w:basedOn w:val="Table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000000"/>
          <w:left w:val="none" w:sz="0" w:space="0" w:color="000000"/>
          <w:bottom w:val="single" w:sz="4" w:space="0" w:color="ADD394" w:themeColor="accent6" w:themeTint="90"/>
          <w:right w:val="none" w:sz="0"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000000"/>
          <w:left w:val="none" w:sz="0" w:space="0" w:color="000000"/>
          <w:bottom w:val="none" w:sz="0"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000000"/>
          <w:left w:val="single" w:sz="4" w:space="0" w:color="ADD394" w:themeColor="accent6" w:themeTint="90"/>
          <w:bottom w:val="none" w:sz="0" w:space="0" w:color="000000"/>
          <w:right w:val="none" w:sz="0"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Table1Light-Accent1">
    <w:name w:val="List Table 1 Light Accent 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styleId="ListTable1Light-Accent2">
    <w:name w:val="List Table 1 Light Accent 2"/>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styleId="ListTable1Light-Accent3">
    <w:name w:val="List Table 1 Light Accent 3"/>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styleId="ListTable1Light-Accent4">
    <w:name w:val="List Table 1 Light Accent 4"/>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styleId="ListTable1Light-Accent5">
    <w:name w:val="List Table 1 Light Accent 5"/>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styleId="ListTable1Light-Accent6">
    <w:name w:val="List Table 1 Light Accent 6"/>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Table2-Accent1">
    <w:name w:val="List Table 2 Accent 1"/>
    <w:basedOn w:val="TableNormal"/>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styleId="ListTable2-Accent2">
    <w:name w:val="List Table 2 Accent 2"/>
    <w:basedOn w:val="Table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styleId="ListTable2-Accent3">
    <w:name w:val="List Table 2 Accent 3"/>
    <w:basedOn w:val="Table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styleId="ListTable2-Accent4">
    <w:name w:val="List Table 2 Accent 4"/>
    <w:basedOn w:val="Table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styleId="ListTable2-Accent5">
    <w:name w:val="List Table 2 Accent 5"/>
    <w:basedOn w:val="TableNormal"/>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styleId="ListTable2-Accent6">
    <w:name w:val="List Table 2 Accent 6"/>
    <w:basedOn w:val="Table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Table3-Accent1">
    <w:name w:val="List Table 3 Accent 1"/>
    <w:basedOn w:val="TableNormal"/>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styleId="ListTable3-Accent2">
    <w:name w:val="List Table 3 Accent 2"/>
    <w:basedOn w:val="Table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styleId="ListTable3-Accent3">
    <w:name w:val="List Table 3 Accent 3"/>
    <w:basedOn w:val="Table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styleId="ListTable3-Accent4">
    <w:name w:val="List Table 3 Accent 4"/>
    <w:basedOn w:val="Table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styleId="ListTable3-Accent5">
    <w:name w:val="List Table 3 Accent 5"/>
    <w:basedOn w:val="TableNormal"/>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styleId="ListTable3-Accent6">
    <w:name w:val="List Table 3 Accent 6"/>
    <w:basedOn w:val="Table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Table4-Accent1">
    <w:name w:val="List Table 4 Accent 1"/>
    <w:basedOn w:val="TableNormal"/>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styleId="ListTable4-Accent2">
    <w:name w:val="List Table 4 Accent 2"/>
    <w:basedOn w:val="Table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styleId="ListTable4-Accent3">
    <w:name w:val="List Table 4 Accent 3"/>
    <w:basedOn w:val="Table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styleId="ListTable4-Accent4">
    <w:name w:val="List Table 4 Accent 4"/>
    <w:basedOn w:val="Table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styleId="ListTable4-Accent5">
    <w:name w:val="List Table 4 Accent 5"/>
    <w:basedOn w:val="TableNormal"/>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styleId="ListTable4-Accent6">
    <w:name w:val="List Table 4 Accent 6"/>
    <w:basedOn w:val="Table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Table5Dark-Accent1">
    <w:name w:val="List Table 5 Dark Accent 1"/>
    <w:basedOn w:val="TableNormal"/>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styleId="ListTable5Dark-Accent2">
    <w:name w:val="List Table 5 Dark Accent 2"/>
    <w:basedOn w:val="Table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styleId="ListTable5Dark-Accent3">
    <w:name w:val="List Table 5 Dark Accent 3"/>
    <w:basedOn w:val="Table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styleId="ListTable5Dark-Accent4">
    <w:name w:val="List Table 5 Dark Accent 4"/>
    <w:basedOn w:val="Table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styleId="ListTable5Dark-Accent5">
    <w:name w:val="List Table 5 Dark Accent 5"/>
    <w:basedOn w:val="TableNormal"/>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styleId="ListTable5Dark-Accent6">
    <w:name w:val="List Table 5 Dark Accent 6"/>
    <w:basedOn w:val="Table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Table6Colorful-Accent1">
    <w:name w:val="List Table 6 Colorful Accent 1"/>
    <w:basedOn w:val="TableNormal"/>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styleId="ListTable6Colorful-Accent2">
    <w:name w:val="List Table 6 Colorful Accent 2"/>
    <w:basedOn w:val="Table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styleId="ListTable6Colorful-Accent3">
    <w:name w:val="List Table 6 Colorful Accent 3"/>
    <w:basedOn w:val="Table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styleId="ListTable6Colorful-Accent4">
    <w:name w:val="List Table 6 Colorful Accent 4"/>
    <w:basedOn w:val="Table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styleId="ListTable6Colorful-Accent5">
    <w:name w:val="List Table 6 Colorful Accent 5"/>
    <w:basedOn w:val="TableNormal"/>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styleId="ListTable6Colorful-Accent6">
    <w:name w:val="List Table 6 Colorful Accent 6"/>
    <w:basedOn w:val="Table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Table7Colorful-Accent1">
    <w:name w:val="List Table 7 Colorful Accent 1"/>
    <w:basedOn w:val="TableNormal"/>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000000"/>
          <w:left w:val="none" w:sz="0" w:space="0" w:color="000000"/>
          <w:bottom w:val="single" w:sz="4" w:space="0" w:color="4472C4" w:themeColor="accent1"/>
          <w:right w:val="none" w:sz="0"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000000"/>
          <w:left w:val="none" w:sz="0" w:space="0" w:color="000000"/>
          <w:bottom w:val="none" w:sz="0"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000000"/>
          <w:left w:val="single" w:sz="4" w:space="0" w:color="4472C4" w:themeColor="accent1"/>
          <w:bottom w:val="none" w:sz="0" w:space="0" w:color="000000"/>
          <w:right w:val="none" w:sz="0"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styleId="ListTable7Colorful-Accent2">
    <w:name w:val="List Table 7 Colorful Accent 2"/>
    <w:basedOn w:val="Table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styleId="ListTable7Colorful-Accent3">
    <w:name w:val="List Table 7 Colorful Accent 3"/>
    <w:basedOn w:val="Table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000000"/>
          <w:left w:val="none" w:sz="0" w:space="0" w:color="000000"/>
          <w:bottom w:val="single" w:sz="4" w:space="0" w:color="C9C9C9" w:themeColor="accent3" w:themeTint="98"/>
          <w:right w:val="none" w:sz="0"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000000"/>
          <w:left w:val="none" w:sz="0" w:space="0" w:color="000000"/>
          <w:bottom w:val="none" w:sz="0"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000000"/>
          <w:left w:val="single" w:sz="4" w:space="0" w:color="C9C9C9" w:themeColor="accent3" w:themeTint="98"/>
          <w:bottom w:val="none" w:sz="0" w:space="0" w:color="000000"/>
          <w:right w:val="none" w:sz="0"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styleId="ListTable7Colorful-Accent4">
    <w:name w:val="List Table 7 Colorful Accent 4"/>
    <w:basedOn w:val="Table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styleId="ListTable7Colorful-Accent5">
    <w:name w:val="List Table 7 Colorful Accent 5"/>
    <w:basedOn w:val="TableNormal"/>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000000"/>
          <w:left w:val="none" w:sz="0" w:space="0" w:color="000000"/>
          <w:bottom w:val="single" w:sz="4" w:space="0" w:color="9BC2E5" w:themeColor="accent5" w:themeTint="9A"/>
          <w:right w:val="none" w:sz="0"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000000"/>
          <w:left w:val="none" w:sz="0" w:space="0" w:color="000000"/>
          <w:bottom w:val="none" w:sz="0"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000000"/>
          <w:left w:val="single" w:sz="4" w:space="0" w:color="9BC2E5" w:themeColor="accent5" w:themeTint="9A"/>
          <w:bottom w:val="none" w:sz="0" w:space="0" w:color="000000"/>
          <w:right w:val="none" w:sz="0"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styleId="ListTable7Colorful-Accent6">
    <w:name w:val="List Table 7 Colorful Accent 6"/>
    <w:basedOn w:val="Table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000000"/>
          <w:left w:val="none" w:sz="0" w:space="0" w:color="000000"/>
          <w:bottom w:val="single" w:sz="4" w:space="0" w:color="A9D08E" w:themeColor="accent6" w:themeTint="98"/>
          <w:right w:val="none" w:sz="0"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000000"/>
          <w:left w:val="none" w:sz="0" w:space="0" w:color="000000"/>
          <w:bottom w:val="none" w:sz="0"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000000"/>
          <w:left w:val="single" w:sz="4" w:space="0" w:color="A9D08E" w:themeColor="accent6" w:themeTint="98"/>
          <w:bottom w:val="none" w:sz="0" w:space="0" w:color="000000"/>
          <w:right w:val="none" w:sz="0"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character" w:customStyle="1" w:styleId="Heading1Char">
    <w:name w:val="Heading 1 Char"/>
    <w:basedOn w:val="DefaultParagraphFont"/>
    <w:link w:val="Heading1"/>
    <w:uiPriority w:val="9"/>
    <w:rPr>
      <w:rFonts w:ascii="Arial" w:eastAsia="Arial" w:hAnsi="Arial" w:cs="Arial"/>
      <w:sz w:val="40"/>
      <w:szCs w:val="40"/>
    </w:rPr>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ListParagraph">
    <w:name w:val="List Paragraph"/>
    <w:basedOn w:val="Normal"/>
    <w:uiPriority w:val="34"/>
    <w:qFormat/>
    <w:pPr>
      <w:ind w:left="720"/>
      <w:contextualSpacing/>
    </w:pPr>
  </w:style>
  <w:style w:type="paragraph" w:styleId="NoSpacing">
    <w:name w:val="No Spacing"/>
    <w:uiPriority w:val="1"/>
    <w:qFormat/>
    <w:pPr>
      <w:spacing w:after="0" w:line="240" w:lineRule="auto"/>
    </w:pPr>
  </w:style>
  <w:style w:type="paragraph" w:styleId="Title">
    <w:name w:val="Title"/>
    <w:basedOn w:val="Normal"/>
    <w:next w:val="Normal"/>
    <w:link w:val="TitleChar"/>
    <w:uiPriority w:val="10"/>
    <w:qFormat/>
    <w:pPr>
      <w:spacing w:before="300" w:after="2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after="200"/>
    </w:pPr>
    <w:rPr>
      <w:sz w:val="24"/>
      <w:szCs w:val="24"/>
    </w:r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paragraph" w:styleId="Caption">
    <w:name w:val="caption"/>
    <w:basedOn w:val="Normal"/>
    <w:next w:val="Normal"/>
    <w:uiPriority w:val="35"/>
    <w:semiHidden/>
    <w:unhideWhenUsed/>
    <w:qFormat/>
    <w:pPr>
      <w:spacing w:line="276" w:lineRule="auto"/>
    </w:pPr>
    <w:rPr>
      <w:b/>
      <w:bCs/>
      <w:color w:val="4472C4" w:themeColor="accent1"/>
      <w:sz w:val="18"/>
      <w:szCs w:val="18"/>
    </w:rPr>
  </w:style>
  <w:style w:type="character" w:customStyle="1" w:styleId="CaptionChar">
    <w:name w:val="Caption Char"/>
    <w:uiPriority w:val="99"/>
  </w:style>
  <w:style w:type="table" w:styleId="PlainTable1">
    <w:name w:val="Plain Table 1"/>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lainTable2">
    <w:name w:val="Plain Table 2"/>
    <w:basedOn w:val="Table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4">
    <w:name w:val="Plain Table 4"/>
    <w:basedOn w:val="Table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5">
    <w:name w:val="Plain Table 5"/>
    <w:basedOn w:val="Table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ridTable1Light">
    <w:name w:val="Grid Table 1 Light"/>
    <w:basedOn w:val="Table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ridTable2">
    <w:name w:val="Grid Table 2"/>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3">
    <w:name w:val="Grid Table 3"/>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4">
    <w:name w:val="Grid Table 4"/>
    <w:basedOn w:val="Table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5Dark">
    <w:name w:val="Grid Table 5 Dark"/>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4">
    <w:name w:val="Grid Table 5 Dark- Accent 4"/>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styleId="GridTable6Colorful">
    <w:name w:val="Grid Table 6 Colorful"/>
    <w:basedOn w:val="Table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GridTable7Colorful">
    <w:name w:val="Grid Table 7 Colorful"/>
    <w:basedOn w:val="Table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ListTable1Light">
    <w:name w:val="List Table 1 Light"/>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ListTable2">
    <w:name w:val="List Table 2"/>
    <w:basedOn w:val="Table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3">
    <w:name w:val="List Table 3"/>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Table4">
    <w:name w:val="List Table 4"/>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5Dark">
    <w:name w:val="List Table 5 Dark"/>
    <w:basedOn w:val="Table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ListTable6Colorful">
    <w:name w:val="List Table 6 Colorful"/>
    <w:basedOn w:val="Table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ListTable7Colorful">
    <w:name w:val="List Table 7 Colorful"/>
    <w:basedOn w:val="Table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ned-Accent">
    <w:name w:val="Lined - Accent"/>
    <w:basedOn w:val="Table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le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le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Normal"/>
    <w:uiPriority w:val="99"/>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Normal"/>
    <w:uiPriority w:val="99"/>
    <w:pPr>
      <w:spacing w:after="0" w:line="240" w:lineRule="auto"/>
    </w:pPr>
    <w:rPr>
      <w:color w:val="404040"/>
      <w:sz w:val="20"/>
      <w:szCs w:val="2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leNormal"/>
    <w:uiPriority w:val="99"/>
    <w:pPr>
      <w:spacing w:after="0" w:line="240" w:lineRule="auto"/>
    </w:pPr>
    <w:rPr>
      <w:color w:val="404040"/>
      <w:sz w:val="20"/>
      <w:szCs w:val="2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Normal"/>
    <w:uiPriority w:val="99"/>
    <w:pPr>
      <w:spacing w:after="0" w:line="240" w:lineRule="auto"/>
    </w:pPr>
    <w:rPr>
      <w:color w:val="404040"/>
      <w:sz w:val="20"/>
      <w:szCs w:val="2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Normal"/>
    <w:uiPriority w:val="99"/>
    <w:pPr>
      <w:spacing w:after="0" w:line="240" w:lineRule="auto"/>
    </w:pPr>
    <w:rPr>
      <w:color w:val="404040"/>
      <w:sz w:val="20"/>
      <w:szCs w:val="2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Normal"/>
    <w:uiPriority w:val="99"/>
    <w:pPr>
      <w:spacing w:after="0" w:line="240" w:lineRule="auto"/>
    </w:pPr>
    <w:rPr>
      <w:color w:val="404040"/>
      <w:sz w:val="20"/>
      <w:szCs w:val="2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leNormal"/>
    <w:uiPriority w:val="99"/>
    <w:pPr>
      <w:spacing w:after="0" w:line="240" w:lineRule="auto"/>
    </w:pPr>
    <w:rPr>
      <w:color w:val="404040"/>
      <w:sz w:val="20"/>
      <w:szCs w:val="2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le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Norma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le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ootnoteText">
    <w:name w:val="footnote text"/>
    <w:basedOn w:val="Normal"/>
    <w:link w:val="FootnoteTextChar"/>
    <w:uiPriority w:val="99"/>
    <w:semiHidden/>
    <w:unhideWhenUsed/>
    <w:pPr>
      <w:spacing w:after="40" w:line="240" w:lineRule="auto"/>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EndnoteText">
    <w:name w:val="endnote text"/>
    <w:basedOn w:val="Normal"/>
    <w:link w:val="EndnoteTextChar"/>
    <w:uiPriority w:val="99"/>
    <w:semiHidden/>
    <w:unhideWhenUsed/>
    <w:pPr>
      <w:spacing w:after="0" w:line="240" w:lineRule="auto"/>
    </w:pPr>
    <w:rPr>
      <w:sz w:val="20"/>
    </w:rPr>
  </w:style>
  <w:style w:type="character" w:customStyle="1" w:styleId="EndnoteTextChar">
    <w:name w:val="Endnote Text Char"/>
    <w:link w:val="EndnoteText"/>
    <w:uiPriority w:val="99"/>
    <w:rPr>
      <w:sz w:val="20"/>
    </w:rPr>
  </w:style>
  <w:style w:type="character" w:styleId="EndnoteReference">
    <w:name w:val="endnote reference"/>
    <w:basedOn w:val="DefaultParagraphFont"/>
    <w:uiPriority w:val="99"/>
    <w:semiHidden/>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TableofFigures">
    <w:name w:val="table of figures"/>
    <w:basedOn w:val="Normal"/>
    <w:next w:val="Normal"/>
    <w:uiPriority w:val="99"/>
    <w:unhideWhenUsed/>
    <w:pPr>
      <w:spacing w:after="0"/>
    </w:pPr>
  </w:style>
  <w:style w:type="table" w:styleId="TableGrid">
    <w:name w:val="Table Grid"/>
    <w:basedOn w:val="TableNormal"/>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pf0">
    <w:name w:val="pf0"/>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rPr>
      <w:rFonts w:ascii="Segoe UI" w:hAnsi="Segoe UI" w:cs="Segoe UI"/>
      <w:sz w:val="18"/>
      <w:szCs w:val="1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Kathleen.meradith-eyers@iowadot.us"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D2C0C8CB3D8149B2FCA69D86828DE9" ma:contentTypeVersion="12" ma:contentTypeDescription="Create a new document." ma:contentTypeScope="" ma:versionID="2ea61c27a86f72c5fc48d3341bb1190d">
  <xsd:schema xmlns:xsd="http://www.w3.org/2001/XMLSchema" xmlns:xs="http://www.w3.org/2001/XMLSchema" xmlns:p="http://schemas.microsoft.com/office/2006/metadata/properties" xmlns:ns3="f6b92fbc-cd27-47fd-b756-a4bc236a9647" xmlns:ns4="1588db7d-78dd-4850-863b-8c41a87ea4c7" targetNamespace="http://schemas.microsoft.com/office/2006/metadata/properties" ma:root="true" ma:fieldsID="4acaba2d701777158868002634524755" ns3:_="" ns4:_="">
    <xsd:import namespace="f6b92fbc-cd27-47fd-b756-a4bc236a9647"/>
    <xsd:import namespace="1588db7d-78dd-4850-863b-8c41a87ea4c7"/>
    <xsd:element name="properties">
      <xsd:complexType>
        <xsd:sequence>
          <xsd:element name="documentManagement">
            <xsd:complexType>
              <xsd:all>
                <xsd:element ref="ns3:MigrationWizId" minOccurs="0"/>
                <xsd:element ref="ns3:MigrationWizIdPermissions" minOccurs="0"/>
                <xsd:element ref="ns3:MigrationWizIdPermissionLevels" minOccurs="0"/>
                <xsd:element ref="ns3:MigrationWizIdDocumentLibraryPermissions" minOccurs="0"/>
                <xsd:element ref="ns3:MigrationWizIdSecurityGroups"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b92fbc-cd27-47fd-b756-a4bc236a9647"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_activity" ma:index="19"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88db7d-78dd-4850-863b-8c41a87ea4c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igrationWizIdDocumentLibraryPermissions xmlns="f6b92fbc-cd27-47fd-b756-a4bc236a9647" xsi:nil="true"/>
    <_activity xmlns="f6b92fbc-cd27-47fd-b756-a4bc236a9647" xsi:nil="true"/>
    <MigrationWizIdSecurityGroups xmlns="f6b92fbc-cd27-47fd-b756-a4bc236a9647" xsi:nil="true"/>
    <MigrationWizId xmlns="f6b92fbc-cd27-47fd-b756-a4bc236a9647" xsi:nil="true"/>
    <MigrationWizIdPermissions xmlns="f6b92fbc-cd27-47fd-b756-a4bc236a9647" xsi:nil="true"/>
    <MigrationWizIdPermissionLevels xmlns="f6b92fbc-cd27-47fd-b756-a4bc236a9647" xsi:nil="true"/>
  </documentManagement>
</p:properties>
</file>

<file path=customXml/itemProps1.xml><?xml version="1.0" encoding="utf-8"?>
<ds:datastoreItem xmlns:ds="http://schemas.openxmlformats.org/officeDocument/2006/customXml" ds:itemID="{0819D42F-0607-4E30-9298-56EEE116D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b92fbc-cd27-47fd-b756-a4bc236a9647"/>
    <ds:schemaRef ds:uri="1588db7d-78dd-4850-863b-8c41a87ea4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A00335-A4BC-4E9D-8646-8C8FDB2880C6}">
  <ds:schemaRefs>
    <ds:schemaRef ds:uri="http://schemas.microsoft.com/sharepoint/v3/contenttype/forms"/>
  </ds:schemaRefs>
</ds:datastoreItem>
</file>

<file path=customXml/itemProps3.xml><?xml version="1.0" encoding="utf-8"?>
<ds:datastoreItem xmlns:ds="http://schemas.openxmlformats.org/officeDocument/2006/customXml" ds:itemID="{17DC117B-42E8-4B25-8D91-2B6303A8EC8B}">
  <ds:schemaRefs>
    <ds:schemaRef ds:uri="http://schemas.microsoft.com/office/2006/metadata/properties"/>
    <ds:schemaRef ds:uri="http://schemas.microsoft.com/office/infopath/2007/PartnerControls"/>
    <ds:schemaRef ds:uri="f6b92fbc-cd27-47fd-b756-a4bc236a9647"/>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1338</Words>
  <Characters>7631</Characters>
  <Application>Microsoft Office Word</Application>
  <DocSecurity>0</DocSecurity>
  <Lines>63</Lines>
  <Paragraphs>17</Paragraphs>
  <ScaleCrop>false</ScaleCrop>
  <Company/>
  <LinksUpToDate>false</LinksUpToDate>
  <CharactersWithSpaces>8952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Winters, Tammy [IDOM]</dc:creator>
  <cp:keywords/>
  <dc:description/>
  <cp:lastModifiedBy>George, Tracy</cp:lastModifiedBy>
  <cp:revision>3</cp:revision>
  <dcterms:created xsi:type="dcterms:W3CDTF">2024-07-15T13:08:00Z</dcterms:created>
  <dcterms:modified xsi:type="dcterms:W3CDTF">2024-07-15T13:15:00Z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0x0101006ED2C0C8CB3D8149B2FCA69D86828DE9</vt:lpwstr>
  </property>
</Properties>
</file>